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jc w:val="center"/>
        <w:rPr>
          <w:rFonts w:ascii="Times New Roman" w:hAnsi="Times New Roman" w:cs="Times New Roman"/>
          <w:b/>
          <w:sz w:val="24"/>
          <w:szCs w:val="24"/>
        </w:rPr>
      </w:pPr>
      <w:r>
        <w:rPr>
          <w:rFonts w:ascii="Times New Roman" w:hAnsi="Times New Roman" w:cs="Times New Roman"/>
          <w:b/>
          <w:sz w:val="24"/>
          <w:szCs w:val="24"/>
        </w:rPr>
        <w:t>BIBLIOGUS, F Castelain, Janvier 2026</w:t>
      </w: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r>
        <w:rPr>
          <w:rFonts w:ascii="Times New Roman" w:hAnsi="Times New Roman" w:cs="Times New Roman"/>
          <w:b/>
          <w:noProof/>
          <w:sz w:val="24"/>
          <w:szCs w:val="24"/>
          <w:lang w:eastAsia="fr-FR"/>
        </w:rPr>
        <w:drawing>
          <wp:inline distT="0" distB="0" distL="0" distR="0">
            <wp:extent cx="2676899" cy="1762371"/>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850F4.tmp"/>
                    <pic:cNvPicPr/>
                  </pic:nvPicPr>
                  <pic:blipFill>
                    <a:blip r:embed="rId5">
                      <a:extLst>
                        <a:ext uri="{28A0092B-C50C-407E-A947-70E740481C1C}">
                          <a14:useLocalDpi xmlns:a14="http://schemas.microsoft.com/office/drawing/2010/main" val="0"/>
                        </a:ext>
                      </a:extLst>
                    </a:blip>
                    <a:stretch>
                      <a:fillRect/>
                    </a:stretch>
                  </pic:blipFill>
                  <pic:spPr>
                    <a:xfrm>
                      <a:off x="0" y="0"/>
                      <a:ext cx="2676899" cy="1762371"/>
                    </a:xfrm>
                    <a:prstGeom prst="rect">
                      <a:avLst/>
                    </a:prstGeom>
                  </pic:spPr>
                </pic:pic>
              </a:graphicData>
            </a:graphic>
          </wp:inline>
        </w:drawing>
      </w:r>
    </w:p>
    <w:p>
      <w:pPr>
        <w:jc w:val="center"/>
        <w:rPr>
          <w:rFonts w:ascii="Times New Roman" w:hAnsi="Times New Roman" w:cs="Times New Roman"/>
          <w:b/>
          <w:sz w:val="24"/>
          <w:szCs w:val="24"/>
        </w:rPr>
      </w:pPr>
    </w:p>
    <w:p>
      <w:pPr>
        <w:rPr>
          <w:rFonts w:ascii="Times New Roman" w:hAnsi="Times New Roman" w:cs="Times New Roman"/>
          <w:b/>
          <w:sz w:val="24"/>
          <w:szCs w:val="24"/>
          <w:u w:val="single"/>
        </w:rPr>
      </w:pPr>
    </w:p>
    <w:p>
      <w:pPr>
        <w:spacing w:before="100" w:beforeAutospacing="1" w:after="100" w:afterAutospacing="1" w:line="240" w:lineRule="auto"/>
        <w:outlineLvl w:val="1"/>
        <w:rPr>
          <w:rFonts w:ascii="Times New Roman" w:eastAsia="Times New Roman" w:hAnsi="Times New Roman" w:cs="Times New Roman"/>
          <w:b/>
          <w:bCs/>
          <w:color w:val="0070C0"/>
          <w:sz w:val="24"/>
          <w:szCs w:val="24"/>
          <w:lang w:eastAsia="fr-FR"/>
        </w:rPr>
      </w:pPr>
      <w:proofErr w:type="spellStart"/>
      <w:r>
        <w:rPr>
          <w:rFonts w:ascii="Times New Roman" w:hAnsi="Times New Roman" w:cs="Times New Roman"/>
          <w:b/>
          <w:bCs/>
          <w:color w:val="0070C0"/>
          <w:sz w:val="24"/>
          <w:szCs w:val="24"/>
        </w:rPr>
        <w:t>Analysis</w:t>
      </w:r>
      <w:proofErr w:type="spellEnd"/>
      <w:r>
        <w:rPr>
          <w:rFonts w:ascii="Times New Roman" w:hAnsi="Times New Roman" w:cs="Times New Roman"/>
          <w:b/>
          <w:bCs/>
          <w:color w:val="0070C0"/>
          <w:sz w:val="24"/>
          <w:szCs w:val="24"/>
        </w:rPr>
        <w:t xml:space="preserve"> of </w:t>
      </w:r>
      <w:proofErr w:type="spellStart"/>
      <w:r>
        <w:rPr>
          <w:rFonts w:ascii="Times New Roman" w:hAnsi="Times New Roman" w:cs="Times New Roman"/>
          <w:b/>
          <w:bCs/>
          <w:color w:val="0070C0"/>
          <w:sz w:val="24"/>
          <w:szCs w:val="24"/>
        </w:rPr>
        <w:t>quality</w:t>
      </w:r>
      <w:proofErr w:type="spellEnd"/>
      <w:r>
        <w:rPr>
          <w:rFonts w:ascii="Times New Roman" w:hAnsi="Times New Roman" w:cs="Times New Roman"/>
          <w:b/>
          <w:bCs/>
          <w:color w:val="0070C0"/>
          <w:sz w:val="24"/>
          <w:szCs w:val="24"/>
        </w:rPr>
        <w:t xml:space="preserve"> of life and </w:t>
      </w:r>
      <w:proofErr w:type="spellStart"/>
      <w:r>
        <w:rPr>
          <w:rFonts w:ascii="Times New Roman" w:hAnsi="Times New Roman" w:cs="Times New Roman"/>
          <w:b/>
          <w:bCs/>
          <w:color w:val="0070C0"/>
          <w:sz w:val="24"/>
          <w:szCs w:val="24"/>
        </w:rPr>
        <w:t>economic</w:t>
      </w:r>
      <w:proofErr w:type="spellEnd"/>
      <w:r>
        <w:rPr>
          <w:rFonts w:ascii="Times New Roman" w:hAnsi="Times New Roman" w:cs="Times New Roman"/>
          <w:b/>
          <w:bCs/>
          <w:color w:val="0070C0"/>
          <w:sz w:val="24"/>
          <w:szCs w:val="24"/>
        </w:rPr>
        <w:t xml:space="preserve"> </w:t>
      </w:r>
      <w:proofErr w:type="spellStart"/>
      <w:r>
        <w:rPr>
          <w:rFonts w:ascii="Times New Roman" w:hAnsi="Times New Roman" w:cs="Times New Roman"/>
          <w:b/>
          <w:bCs/>
          <w:color w:val="0070C0"/>
          <w:sz w:val="24"/>
          <w:szCs w:val="24"/>
        </w:rPr>
        <w:t>burden</w:t>
      </w:r>
      <w:proofErr w:type="spellEnd"/>
      <w:r>
        <w:rPr>
          <w:rFonts w:ascii="Times New Roman" w:hAnsi="Times New Roman" w:cs="Times New Roman"/>
          <w:b/>
          <w:bCs/>
          <w:color w:val="0070C0"/>
          <w:sz w:val="24"/>
          <w:szCs w:val="24"/>
        </w:rPr>
        <w:t xml:space="preserve"> in patients </w:t>
      </w:r>
      <w:proofErr w:type="spellStart"/>
      <w:r>
        <w:rPr>
          <w:rFonts w:ascii="Times New Roman" w:hAnsi="Times New Roman" w:cs="Times New Roman"/>
          <w:b/>
          <w:bCs/>
          <w:color w:val="0070C0"/>
          <w:sz w:val="24"/>
          <w:szCs w:val="24"/>
        </w:rPr>
        <w:t>with</w:t>
      </w:r>
      <w:proofErr w:type="spellEnd"/>
      <w:r>
        <w:rPr>
          <w:rFonts w:ascii="Times New Roman" w:hAnsi="Times New Roman" w:cs="Times New Roman"/>
          <w:b/>
          <w:bCs/>
          <w:color w:val="0070C0"/>
          <w:sz w:val="24"/>
          <w:szCs w:val="24"/>
        </w:rPr>
        <w:t xml:space="preserve"> </w:t>
      </w:r>
      <w:proofErr w:type="spellStart"/>
      <w:r>
        <w:rPr>
          <w:rFonts w:ascii="Times New Roman" w:hAnsi="Times New Roman" w:cs="Times New Roman"/>
          <w:b/>
          <w:bCs/>
          <w:color w:val="0070C0"/>
          <w:sz w:val="24"/>
          <w:szCs w:val="24"/>
        </w:rPr>
        <w:t>chronic</w:t>
      </w:r>
      <w:proofErr w:type="spellEnd"/>
      <w:r>
        <w:rPr>
          <w:rFonts w:ascii="Times New Roman" w:hAnsi="Times New Roman" w:cs="Times New Roman"/>
          <w:b/>
          <w:bCs/>
          <w:color w:val="0070C0"/>
          <w:sz w:val="24"/>
          <w:szCs w:val="24"/>
        </w:rPr>
        <w:t xml:space="preserve"> </w:t>
      </w:r>
      <w:proofErr w:type="spellStart"/>
      <w:r>
        <w:rPr>
          <w:rFonts w:ascii="Times New Roman" w:hAnsi="Times New Roman" w:cs="Times New Roman"/>
          <w:b/>
          <w:bCs/>
          <w:color w:val="0070C0"/>
          <w:sz w:val="24"/>
          <w:szCs w:val="24"/>
        </w:rPr>
        <w:t>urticaria</w:t>
      </w:r>
      <w:proofErr w:type="spellEnd"/>
      <w:r>
        <w:rPr>
          <w:rFonts w:ascii="Times New Roman" w:hAnsi="Times New Roman" w:cs="Times New Roman"/>
          <w:b/>
          <w:bCs/>
          <w:color w:val="0070C0"/>
          <w:sz w:val="24"/>
          <w:szCs w:val="24"/>
        </w:rPr>
        <w:t xml:space="preserve">: a comparative </w:t>
      </w:r>
      <w:proofErr w:type="spellStart"/>
      <w:r>
        <w:rPr>
          <w:rFonts w:ascii="Times New Roman" w:hAnsi="Times New Roman" w:cs="Times New Roman"/>
          <w:b/>
          <w:bCs/>
          <w:color w:val="0070C0"/>
          <w:sz w:val="24"/>
          <w:szCs w:val="24"/>
        </w:rPr>
        <w:t>study</w:t>
      </w:r>
      <w:proofErr w:type="spellEnd"/>
      <w:r>
        <w:rPr>
          <w:rFonts w:ascii="Times New Roman" w:hAnsi="Times New Roman" w:cs="Times New Roman"/>
          <w:b/>
          <w:bCs/>
          <w:color w:val="0070C0"/>
          <w:sz w:val="24"/>
          <w:szCs w:val="24"/>
        </w:rPr>
        <w:t xml:space="preserve"> of </w:t>
      </w:r>
      <w:proofErr w:type="spellStart"/>
      <w:r>
        <w:rPr>
          <w:rFonts w:ascii="Times New Roman" w:hAnsi="Times New Roman" w:cs="Times New Roman"/>
          <w:b/>
          <w:bCs/>
          <w:color w:val="0070C0"/>
          <w:sz w:val="24"/>
          <w:szCs w:val="24"/>
        </w:rPr>
        <w:t>spontaneous</w:t>
      </w:r>
      <w:proofErr w:type="spellEnd"/>
      <w:r>
        <w:rPr>
          <w:rFonts w:ascii="Times New Roman" w:hAnsi="Times New Roman" w:cs="Times New Roman"/>
          <w:b/>
          <w:bCs/>
          <w:color w:val="0070C0"/>
          <w:sz w:val="24"/>
          <w:szCs w:val="24"/>
        </w:rPr>
        <w:t xml:space="preserve"> and </w:t>
      </w:r>
      <w:proofErr w:type="spellStart"/>
      <w:r>
        <w:rPr>
          <w:rFonts w:ascii="Times New Roman" w:hAnsi="Times New Roman" w:cs="Times New Roman"/>
          <w:b/>
          <w:bCs/>
          <w:color w:val="0070C0"/>
          <w:sz w:val="24"/>
          <w:szCs w:val="24"/>
        </w:rPr>
        <w:t>induced</w:t>
      </w:r>
      <w:proofErr w:type="spellEnd"/>
      <w:r>
        <w:rPr>
          <w:rFonts w:ascii="Times New Roman" w:hAnsi="Times New Roman" w:cs="Times New Roman"/>
          <w:b/>
          <w:bCs/>
          <w:color w:val="0070C0"/>
          <w:sz w:val="24"/>
          <w:szCs w:val="24"/>
        </w:rPr>
        <w:t xml:space="preserve"> </w:t>
      </w:r>
      <w:proofErr w:type="spellStart"/>
      <w:r>
        <w:rPr>
          <w:rFonts w:ascii="Times New Roman" w:hAnsi="Times New Roman" w:cs="Times New Roman"/>
          <w:b/>
          <w:bCs/>
          <w:color w:val="0070C0"/>
          <w:sz w:val="24"/>
          <w:szCs w:val="24"/>
        </w:rPr>
        <w:t>urticaria</w:t>
      </w:r>
      <w:proofErr w:type="spellEnd"/>
      <w:r>
        <w:rPr>
          <w:rFonts w:ascii="Times New Roman" w:hAnsi="Times New Roman" w:cs="Times New Roman"/>
          <w:b/>
          <w:bCs/>
          <w:color w:val="0070C0"/>
          <w:sz w:val="24"/>
          <w:szCs w:val="24"/>
        </w:rPr>
        <w:t xml:space="preserve"> and </w:t>
      </w:r>
      <w:proofErr w:type="spellStart"/>
      <w:r>
        <w:rPr>
          <w:rFonts w:ascii="Times New Roman" w:hAnsi="Times New Roman" w:cs="Times New Roman"/>
          <w:b/>
          <w:bCs/>
          <w:color w:val="0070C0"/>
          <w:sz w:val="24"/>
          <w:szCs w:val="24"/>
        </w:rPr>
        <w:t>its</w:t>
      </w:r>
      <w:proofErr w:type="spellEnd"/>
      <w:r>
        <w:rPr>
          <w:rFonts w:ascii="Times New Roman" w:hAnsi="Times New Roman" w:cs="Times New Roman"/>
          <w:b/>
          <w:bCs/>
          <w:color w:val="0070C0"/>
          <w:sz w:val="24"/>
          <w:szCs w:val="24"/>
        </w:rPr>
        <w:t xml:space="preserve"> </w:t>
      </w:r>
      <w:proofErr w:type="spellStart"/>
      <w:r>
        <w:rPr>
          <w:rFonts w:ascii="Times New Roman" w:hAnsi="Times New Roman" w:cs="Times New Roman"/>
          <w:b/>
          <w:bCs/>
          <w:color w:val="0070C0"/>
          <w:sz w:val="24"/>
          <w:szCs w:val="24"/>
        </w:rPr>
        <w:t>effects</w:t>
      </w:r>
      <w:proofErr w:type="spellEnd"/>
      <w:r>
        <w:rPr>
          <w:rFonts w:ascii="Times New Roman" w:hAnsi="Times New Roman" w:cs="Times New Roman"/>
          <w:b/>
          <w:bCs/>
          <w:color w:val="0070C0"/>
          <w:sz w:val="24"/>
          <w:szCs w:val="24"/>
        </w:rPr>
        <w:t xml:space="preserve"> on cognition of </w:t>
      </w:r>
      <w:proofErr w:type="spellStart"/>
      <w:r>
        <w:rPr>
          <w:rFonts w:ascii="Times New Roman" w:hAnsi="Times New Roman" w:cs="Times New Roman"/>
          <w:b/>
          <w:bCs/>
          <w:color w:val="0070C0"/>
          <w:sz w:val="24"/>
          <w:szCs w:val="24"/>
        </w:rPr>
        <w:t>biologics</w:t>
      </w:r>
      <w:proofErr w:type="spellEnd"/>
    </w:p>
    <w:p>
      <w:pPr>
        <w:spacing w:before="100" w:beforeAutospacing="1" w:after="100" w:afterAutospacing="1" w:line="240" w:lineRule="auto"/>
        <w:outlineLvl w:val="1"/>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 xml:space="preserve">Qualité de vie et fardeau économique : CSU vs </w:t>
      </w:r>
      <w:proofErr w:type="spellStart"/>
      <w:r>
        <w:rPr>
          <w:rFonts w:ascii="Times New Roman" w:eastAsia="Times New Roman" w:hAnsi="Times New Roman" w:cs="Times New Roman"/>
          <w:b/>
          <w:bCs/>
          <w:sz w:val="24"/>
          <w:szCs w:val="24"/>
          <w:lang w:eastAsia="fr-FR"/>
        </w:rPr>
        <w:t>CIndU</w:t>
      </w:r>
      <w:proofErr w:type="spellEnd"/>
    </w:p>
    <w:p>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Ma et al., Journal of Dermatological </w:t>
      </w:r>
      <w:proofErr w:type="spellStart"/>
      <w:r>
        <w:rPr>
          <w:rFonts w:ascii="Times New Roman" w:eastAsia="Times New Roman" w:hAnsi="Times New Roman" w:cs="Times New Roman"/>
          <w:sz w:val="24"/>
          <w:szCs w:val="24"/>
          <w:lang w:eastAsia="fr-FR"/>
        </w:rPr>
        <w:t>Treatment</w:t>
      </w:r>
      <w:proofErr w:type="spellEnd"/>
      <w:r>
        <w:rPr>
          <w:rFonts w:ascii="Times New Roman" w:eastAsia="Times New Roman" w:hAnsi="Times New Roman" w:cs="Times New Roman"/>
          <w:sz w:val="24"/>
          <w:szCs w:val="24"/>
          <w:lang w:eastAsia="fr-FR"/>
        </w:rPr>
        <w:t>, 2025</w:t>
      </w:r>
    </w:p>
    <w:p>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Résumé</w:t>
      </w:r>
      <w:r>
        <w:rPr>
          <w:rFonts w:ascii="Times New Roman" w:eastAsia="Times New Roman" w:hAnsi="Times New Roman" w:cs="Times New Roman"/>
          <w:sz w:val="24"/>
          <w:szCs w:val="24"/>
          <w:lang w:eastAsia="fr-FR"/>
        </w:rPr>
        <w:br/>
        <w:t>Cette étude Chinoise transversale multicentrique (386 patients de 3 centres) compare la qualité de vie, le coût économique et la connaissance des biothérapies chez les patients atteints d’urticaire chronique spontanée (UCS) et d’urticaire inductible (</w:t>
      </w:r>
      <w:proofErr w:type="spellStart"/>
      <w:r>
        <w:rPr>
          <w:rFonts w:ascii="Times New Roman" w:eastAsia="Times New Roman" w:hAnsi="Times New Roman" w:cs="Times New Roman"/>
          <w:sz w:val="24"/>
          <w:szCs w:val="24"/>
          <w:lang w:eastAsia="fr-FR"/>
        </w:rPr>
        <w:t>CIndU</w:t>
      </w:r>
      <w:proofErr w:type="spellEnd"/>
      <w:r>
        <w:rPr>
          <w:rFonts w:ascii="Times New Roman" w:eastAsia="Times New Roman" w:hAnsi="Times New Roman" w:cs="Times New Roman"/>
          <w:sz w:val="24"/>
          <w:szCs w:val="24"/>
          <w:lang w:eastAsia="fr-FR"/>
        </w:rPr>
        <w:t xml:space="preserve">). Les patients UCS présentent une altération plus importante de la qualité de vie (DLQI plus élevé), des coûts ambulatoires plus importants et une meilleure connaissance des biothérapies que les </w:t>
      </w:r>
      <w:proofErr w:type="spellStart"/>
      <w:r>
        <w:rPr>
          <w:rFonts w:ascii="Times New Roman" w:eastAsia="Times New Roman" w:hAnsi="Times New Roman" w:cs="Times New Roman"/>
          <w:sz w:val="24"/>
          <w:szCs w:val="24"/>
          <w:lang w:eastAsia="fr-FR"/>
        </w:rPr>
        <w:t>CIndU</w:t>
      </w:r>
      <w:proofErr w:type="spellEnd"/>
      <w:r>
        <w:rPr>
          <w:rFonts w:ascii="Times New Roman" w:eastAsia="Times New Roman" w:hAnsi="Times New Roman" w:cs="Times New Roman"/>
          <w:sz w:val="24"/>
          <w:szCs w:val="24"/>
          <w:lang w:eastAsia="fr-FR"/>
        </w:rPr>
        <w:t>. Le type d’urticaire, les comorbidités, la durée de la maladie et la couverture sociale influencent fortement ces paramètres. Les auteurs plaident pour une stratification des patients afin d’optimiser l’éducation thérapeutique et l’usage des biologiques.</w:t>
      </w:r>
    </w:p>
    <w:p>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-&gt; Étude intéressante mais peu transposable en France en dehors de la qualité de vie.</w:t>
      </w:r>
    </w:p>
    <w:p>
      <w:pPr>
        <w:rPr>
          <w:rFonts w:ascii="Times New Roman" w:hAnsi="Times New Roman" w:cs="Times New Roman"/>
          <w:b/>
          <w:sz w:val="24"/>
          <w:szCs w:val="24"/>
        </w:rPr>
      </w:pPr>
    </w:p>
    <w:p>
      <w:pPr>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Solar </w:t>
      </w:r>
      <w:proofErr w:type="spellStart"/>
      <w:r>
        <w:rPr>
          <w:rFonts w:ascii="Times New Roman" w:hAnsi="Times New Roman" w:cs="Times New Roman"/>
          <w:b/>
          <w:color w:val="0070C0"/>
          <w:sz w:val="24"/>
          <w:szCs w:val="24"/>
        </w:rPr>
        <w:t>Urticaria-Like</w:t>
      </w:r>
      <w:proofErr w:type="spellEnd"/>
      <w:r>
        <w:rPr>
          <w:rFonts w:ascii="Times New Roman" w:hAnsi="Times New Roman" w:cs="Times New Roman"/>
          <w:b/>
          <w:color w:val="0070C0"/>
          <w:sz w:val="24"/>
          <w:szCs w:val="24"/>
        </w:rPr>
        <w:t xml:space="preserve"> </w:t>
      </w:r>
      <w:proofErr w:type="spellStart"/>
      <w:r>
        <w:rPr>
          <w:rFonts w:ascii="Times New Roman" w:hAnsi="Times New Roman" w:cs="Times New Roman"/>
          <w:b/>
          <w:color w:val="0070C0"/>
          <w:sz w:val="24"/>
          <w:szCs w:val="24"/>
        </w:rPr>
        <w:t>Symptoms</w:t>
      </w:r>
      <w:proofErr w:type="spellEnd"/>
      <w:r>
        <w:rPr>
          <w:rFonts w:ascii="Times New Roman" w:hAnsi="Times New Roman" w:cs="Times New Roman"/>
          <w:b/>
          <w:color w:val="0070C0"/>
          <w:sz w:val="24"/>
          <w:szCs w:val="24"/>
        </w:rPr>
        <w:t xml:space="preserve"> </w:t>
      </w:r>
      <w:proofErr w:type="spellStart"/>
      <w:r>
        <w:rPr>
          <w:rFonts w:ascii="Times New Roman" w:hAnsi="Times New Roman" w:cs="Times New Roman"/>
          <w:b/>
          <w:color w:val="0070C0"/>
          <w:sz w:val="24"/>
          <w:szCs w:val="24"/>
        </w:rPr>
        <w:t>Induced</w:t>
      </w:r>
      <w:proofErr w:type="spellEnd"/>
      <w:r>
        <w:rPr>
          <w:rFonts w:ascii="Times New Roman" w:hAnsi="Times New Roman" w:cs="Times New Roman"/>
          <w:b/>
          <w:color w:val="0070C0"/>
          <w:sz w:val="24"/>
          <w:szCs w:val="24"/>
        </w:rPr>
        <w:t xml:space="preserve"> by </w:t>
      </w:r>
      <w:proofErr w:type="spellStart"/>
      <w:r>
        <w:rPr>
          <w:rFonts w:ascii="Times New Roman" w:hAnsi="Times New Roman" w:cs="Times New Roman"/>
          <w:b/>
          <w:color w:val="0070C0"/>
          <w:sz w:val="24"/>
          <w:szCs w:val="24"/>
        </w:rPr>
        <w:t>Conjugated</w:t>
      </w:r>
      <w:proofErr w:type="spellEnd"/>
      <w:r>
        <w:rPr>
          <w:rFonts w:ascii="Times New Roman" w:hAnsi="Times New Roman" w:cs="Times New Roman"/>
          <w:b/>
          <w:color w:val="0070C0"/>
          <w:sz w:val="24"/>
          <w:szCs w:val="24"/>
        </w:rPr>
        <w:t xml:space="preserve"> </w:t>
      </w:r>
      <w:proofErr w:type="spellStart"/>
      <w:r>
        <w:rPr>
          <w:rFonts w:ascii="Times New Roman" w:hAnsi="Times New Roman" w:cs="Times New Roman"/>
          <w:b/>
          <w:color w:val="0070C0"/>
          <w:sz w:val="24"/>
          <w:szCs w:val="24"/>
        </w:rPr>
        <w:t>Estrogen</w:t>
      </w:r>
      <w:proofErr w:type="spellEnd"/>
    </w:p>
    <w:p>
      <w:pPr>
        <w:rPr>
          <w:rFonts w:ascii="Times New Roman" w:hAnsi="Times New Roman" w:cs="Times New Roman"/>
          <w:sz w:val="24"/>
          <w:szCs w:val="24"/>
        </w:rPr>
      </w:pPr>
      <w:proofErr w:type="spellStart"/>
      <w:r>
        <w:rPr>
          <w:rFonts w:ascii="Times New Roman" w:hAnsi="Times New Roman" w:cs="Times New Roman"/>
          <w:sz w:val="24"/>
          <w:szCs w:val="24"/>
        </w:rPr>
        <w:t>Mizawa</w:t>
      </w:r>
      <w:proofErr w:type="spellEnd"/>
      <w:r>
        <w:rPr>
          <w:rFonts w:ascii="Times New Roman" w:hAnsi="Times New Roman" w:cs="Times New Roman"/>
          <w:sz w:val="24"/>
          <w:szCs w:val="24"/>
        </w:rPr>
        <w:t xml:space="preserve"> et al. The journal of </w:t>
      </w:r>
      <w:proofErr w:type="spellStart"/>
      <w:r>
        <w:rPr>
          <w:rFonts w:ascii="Times New Roman" w:hAnsi="Times New Roman" w:cs="Times New Roman"/>
          <w:sz w:val="24"/>
          <w:szCs w:val="24"/>
        </w:rPr>
        <w:t>dermatology</w:t>
      </w:r>
      <w:proofErr w:type="spellEnd"/>
      <w:r>
        <w:rPr>
          <w:rFonts w:ascii="Times New Roman" w:hAnsi="Times New Roman" w:cs="Times New Roman"/>
          <w:sz w:val="24"/>
          <w:szCs w:val="24"/>
        </w:rPr>
        <w:t>, 2025</w:t>
      </w: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 xml:space="preserve">Il s’agit du cas d’une patiente de 63 ans sous traitement par </w:t>
      </w:r>
      <w:proofErr w:type="spellStart"/>
      <w:r>
        <w:rPr>
          <w:rFonts w:ascii="Times New Roman" w:hAnsi="Times New Roman" w:cs="Times New Roman"/>
          <w:sz w:val="24"/>
          <w:szCs w:val="24"/>
        </w:rPr>
        <w:t>oestrogènes</w:t>
      </w:r>
      <w:proofErr w:type="spellEnd"/>
      <w:r>
        <w:rPr>
          <w:rFonts w:ascii="Times New Roman" w:hAnsi="Times New Roman" w:cs="Times New Roman"/>
          <w:sz w:val="24"/>
          <w:szCs w:val="24"/>
        </w:rPr>
        <w:t xml:space="preserve"> conjugués  </w:t>
      </w:r>
      <w:proofErr w:type="spellStart"/>
      <w:r>
        <w:rPr>
          <w:rFonts w:ascii="Times New Roman" w:hAnsi="Times New Roman" w:cs="Times New Roman"/>
          <w:sz w:val="24"/>
          <w:szCs w:val="24"/>
        </w:rPr>
        <w:t>Premarin</w:t>
      </w:r>
      <w:proofErr w:type="spellEnd"/>
      <w:r>
        <w:rPr>
          <w:rFonts w:ascii="Times New Roman" w:hAnsi="Times New Roman" w:cs="Times New Roman"/>
          <w:sz w:val="24"/>
          <w:szCs w:val="24"/>
        </w:rPr>
        <w:t xml:space="preserve"> depuis 10 ans et qui présente depuis 3 mois des lésions érythémateuses du visage avec picotements et brulure à l’exposition solaire. Réaction immédiate et qui se résolve 30 min après arrêt de l’exposition. Les antiH1 étaient inefficaces. Bilan photo biologique reproduit les lésions à la lumière visible, pas en UVA ou B. Le bilan montre aussi une légère dysfonction hépatique et des taux légèrement élevés d'</w:t>
      </w:r>
      <w:proofErr w:type="spellStart"/>
      <w:r>
        <w:rPr>
          <w:rFonts w:ascii="Times New Roman" w:hAnsi="Times New Roman" w:cs="Times New Roman"/>
          <w:sz w:val="24"/>
          <w:szCs w:val="24"/>
        </w:rPr>
        <w:t>uroporphyrine</w:t>
      </w:r>
      <w:proofErr w:type="spellEnd"/>
      <w:r>
        <w:rPr>
          <w:rFonts w:ascii="Times New Roman" w:hAnsi="Times New Roman" w:cs="Times New Roman"/>
          <w:sz w:val="24"/>
          <w:szCs w:val="24"/>
        </w:rPr>
        <w:t xml:space="preserve"> et de </w:t>
      </w:r>
      <w:proofErr w:type="spellStart"/>
      <w:r>
        <w:rPr>
          <w:rFonts w:ascii="Times New Roman" w:hAnsi="Times New Roman" w:cs="Times New Roman"/>
          <w:sz w:val="24"/>
          <w:szCs w:val="24"/>
        </w:rPr>
        <w:t>coproporphyrine</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dans l'urine. Résolution des symptômes après arrêt du traitement et normalisation de la bio et du bilan </w:t>
      </w:r>
      <w:proofErr w:type="spellStart"/>
      <w:r>
        <w:rPr>
          <w:rFonts w:ascii="Times New Roman" w:hAnsi="Times New Roman" w:cs="Times New Roman"/>
          <w:sz w:val="24"/>
          <w:szCs w:val="24"/>
        </w:rPr>
        <w:t>photobiologique</w:t>
      </w:r>
      <w:proofErr w:type="spellEnd"/>
      <w:r>
        <w:rPr>
          <w:rFonts w:ascii="Times New Roman" w:hAnsi="Times New Roman" w:cs="Times New Roman"/>
          <w:sz w:val="24"/>
          <w:szCs w:val="24"/>
        </w:rPr>
        <w:t>. Ce cas suggère que l'</w:t>
      </w:r>
      <w:proofErr w:type="spellStart"/>
      <w:r>
        <w:rPr>
          <w:rFonts w:ascii="Times New Roman" w:hAnsi="Times New Roman" w:cs="Times New Roman"/>
          <w:sz w:val="24"/>
          <w:szCs w:val="24"/>
        </w:rPr>
        <w:t>œstrogénothérapie</w:t>
      </w:r>
      <w:proofErr w:type="spellEnd"/>
      <w:r>
        <w:rPr>
          <w:rFonts w:ascii="Times New Roman" w:hAnsi="Times New Roman" w:cs="Times New Roman"/>
          <w:sz w:val="24"/>
          <w:szCs w:val="24"/>
        </w:rPr>
        <w:t xml:space="preserve"> peut déclencher de légères anomalies hépatiques de la porphyrine qui se manifestent par une photosensibilité de type urticaire solaire sans lésions de PCT typiques.</w:t>
      </w:r>
    </w:p>
    <w:p>
      <w:pPr>
        <w:rPr>
          <w:rFonts w:ascii="Times New Roman" w:hAnsi="Times New Roman" w:cs="Times New Roman"/>
          <w:sz w:val="24"/>
          <w:szCs w:val="24"/>
        </w:rPr>
      </w:pPr>
      <w:r>
        <w:t xml:space="preserve">→ Conclusion : </w:t>
      </w:r>
      <w:r>
        <w:rPr>
          <w:rFonts w:ascii="Times New Roman" w:hAnsi="Times New Roman" w:cs="Times New Roman"/>
          <w:sz w:val="24"/>
          <w:szCs w:val="24"/>
        </w:rPr>
        <w:t xml:space="preserve">toujours évoquer une étiologie médicamenteuse ??? </w:t>
      </w:r>
    </w:p>
    <w:p>
      <w:pPr>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b/>
          <w:bCs/>
          <w:color w:val="0070C0"/>
          <w:sz w:val="28"/>
          <w:szCs w:val="28"/>
        </w:rPr>
      </w:pPr>
      <w:r>
        <w:rPr>
          <w:rFonts w:ascii="Times New Roman" w:hAnsi="Times New Roman" w:cs="Times New Roman"/>
          <w:b/>
          <w:bCs/>
          <w:color w:val="0070C0"/>
          <w:sz w:val="28"/>
          <w:szCs w:val="28"/>
        </w:rPr>
        <w:t xml:space="preserve">Budget impact of </w:t>
      </w:r>
      <w:proofErr w:type="spellStart"/>
      <w:r>
        <w:rPr>
          <w:rFonts w:ascii="Times New Roman" w:hAnsi="Times New Roman" w:cs="Times New Roman"/>
          <w:b/>
          <w:bCs/>
          <w:color w:val="0070C0"/>
          <w:sz w:val="28"/>
          <w:szCs w:val="28"/>
        </w:rPr>
        <w:t>introducing</w:t>
      </w:r>
      <w:proofErr w:type="spellEnd"/>
      <w:r>
        <w:rPr>
          <w:rFonts w:ascii="Times New Roman" w:hAnsi="Times New Roman" w:cs="Times New Roman"/>
          <w:b/>
          <w:bCs/>
          <w:color w:val="0070C0"/>
          <w:sz w:val="28"/>
          <w:szCs w:val="28"/>
        </w:rPr>
        <w:t xml:space="preserve"> an </w:t>
      </w:r>
      <w:proofErr w:type="spellStart"/>
      <w:r>
        <w:rPr>
          <w:rFonts w:ascii="Times New Roman" w:hAnsi="Times New Roman" w:cs="Times New Roman"/>
          <w:b/>
          <w:bCs/>
          <w:color w:val="0070C0"/>
          <w:sz w:val="28"/>
          <w:szCs w:val="28"/>
        </w:rPr>
        <w:t>omalizumab</w:t>
      </w:r>
      <w:proofErr w:type="spellEnd"/>
      <w:r>
        <w:rPr>
          <w:rFonts w:ascii="Times New Roman" w:hAnsi="Times New Roman" w:cs="Times New Roman"/>
          <w:b/>
          <w:bCs/>
          <w:color w:val="0070C0"/>
          <w:sz w:val="28"/>
          <w:szCs w:val="28"/>
        </w:rPr>
        <w:t xml:space="preserve"> </w:t>
      </w:r>
      <w:proofErr w:type="spellStart"/>
      <w:r>
        <w:rPr>
          <w:rFonts w:ascii="Times New Roman" w:hAnsi="Times New Roman" w:cs="Times New Roman"/>
          <w:b/>
          <w:bCs/>
          <w:color w:val="0070C0"/>
          <w:sz w:val="28"/>
          <w:szCs w:val="28"/>
        </w:rPr>
        <w:t>biosimilarin</w:t>
      </w:r>
      <w:proofErr w:type="spellEnd"/>
      <w:r>
        <w:rPr>
          <w:rFonts w:ascii="Times New Roman" w:hAnsi="Times New Roman" w:cs="Times New Roman"/>
          <w:b/>
          <w:bCs/>
          <w:color w:val="0070C0"/>
          <w:sz w:val="28"/>
          <w:szCs w:val="28"/>
        </w:rPr>
        <w:t xml:space="preserve"> 23 </w:t>
      </w:r>
      <w:proofErr w:type="spellStart"/>
      <w:r>
        <w:rPr>
          <w:rFonts w:ascii="Times New Roman" w:hAnsi="Times New Roman" w:cs="Times New Roman"/>
          <w:b/>
          <w:bCs/>
          <w:color w:val="0070C0"/>
          <w:sz w:val="28"/>
          <w:szCs w:val="28"/>
        </w:rPr>
        <w:t>European</w:t>
      </w:r>
      <w:proofErr w:type="spellEnd"/>
      <w:r>
        <w:rPr>
          <w:rFonts w:ascii="Times New Roman" w:hAnsi="Times New Roman" w:cs="Times New Roman"/>
          <w:b/>
          <w:bCs/>
          <w:color w:val="0070C0"/>
          <w:sz w:val="28"/>
          <w:szCs w:val="28"/>
        </w:rPr>
        <w:t xml:space="preserve"> countries</w:t>
      </w:r>
    </w:p>
    <w:p>
      <w:pPr>
        <w:spacing w:before="100" w:beforeAutospacing="1" w:after="100" w:afterAutospacing="1" w:line="240" w:lineRule="auto"/>
        <w:outlineLvl w:val="1"/>
        <w:rPr>
          <w:rFonts w:ascii="Times New Roman" w:eastAsia="Times New Roman" w:hAnsi="Times New Roman" w:cs="Times New Roman"/>
          <w:b/>
          <w:bCs/>
          <w:color w:val="000000" w:themeColor="text1"/>
          <w:sz w:val="28"/>
          <w:szCs w:val="28"/>
          <w:lang w:eastAsia="fr-FR"/>
        </w:rPr>
      </w:pPr>
      <w:r>
        <w:rPr>
          <w:rFonts w:ascii="Times New Roman" w:eastAsia="Times New Roman" w:hAnsi="Times New Roman" w:cs="Times New Roman"/>
          <w:b/>
          <w:bCs/>
          <w:color w:val="000000" w:themeColor="text1"/>
          <w:sz w:val="28"/>
          <w:szCs w:val="28"/>
          <w:lang w:eastAsia="fr-FR"/>
        </w:rPr>
        <w:t xml:space="preserve">Impact budgétaire d’un </w:t>
      </w:r>
      <w:proofErr w:type="spellStart"/>
      <w:r>
        <w:rPr>
          <w:rFonts w:ascii="Times New Roman" w:eastAsia="Times New Roman" w:hAnsi="Times New Roman" w:cs="Times New Roman"/>
          <w:b/>
          <w:bCs/>
          <w:color w:val="000000" w:themeColor="text1"/>
          <w:sz w:val="28"/>
          <w:szCs w:val="28"/>
          <w:lang w:eastAsia="fr-FR"/>
        </w:rPr>
        <w:t>biosimilaire</w:t>
      </w:r>
      <w:proofErr w:type="spellEnd"/>
      <w:r>
        <w:rPr>
          <w:rFonts w:ascii="Times New Roman" w:eastAsia="Times New Roman" w:hAnsi="Times New Roman" w:cs="Times New Roman"/>
          <w:b/>
          <w:bCs/>
          <w:color w:val="000000" w:themeColor="text1"/>
          <w:sz w:val="28"/>
          <w:szCs w:val="28"/>
          <w:lang w:eastAsia="fr-FR"/>
        </w:rPr>
        <w:t xml:space="preserve"> de l’</w:t>
      </w:r>
      <w:proofErr w:type="spellStart"/>
      <w:r>
        <w:rPr>
          <w:rFonts w:ascii="Times New Roman" w:eastAsia="Times New Roman" w:hAnsi="Times New Roman" w:cs="Times New Roman"/>
          <w:b/>
          <w:bCs/>
          <w:color w:val="000000" w:themeColor="text1"/>
          <w:sz w:val="28"/>
          <w:szCs w:val="28"/>
          <w:lang w:eastAsia="fr-FR"/>
        </w:rPr>
        <w:t>omalizumab</w:t>
      </w:r>
      <w:proofErr w:type="spellEnd"/>
      <w:r>
        <w:rPr>
          <w:rFonts w:ascii="Times New Roman" w:eastAsia="Times New Roman" w:hAnsi="Times New Roman" w:cs="Times New Roman"/>
          <w:b/>
          <w:bCs/>
          <w:color w:val="000000" w:themeColor="text1"/>
          <w:sz w:val="28"/>
          <w:szCs w:val="28"/>
          <w:lang w:eastAsia="fr-FR"/>
        </w:rPr>
        <w:t xml:space="preserve"> en Europe</w:t>
      </w:r>
    </w:p>
    <w:p>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Jang et al., Journal of Medical </w:t>
      </w:r>
      <w:proofErr w:type="spellStart"/>
      <w:r>
        <w:rPr>
          <w:rFonts w:ascii="Times New Roman" w:eastAsia="Times New Roman" w:hAnsi="Times New Roman" w:cs="Times New Roman"/>
          <w:sz w:val="24"/>
          <w:szCs w:val="24"/>
          <w:lang w:eastAsia="fr-FR"/>
        </w:rPr>
        <w:t>Economics</w:t>
      </w:r>
      <w:proofErr w:type="spellEnd"/>
      <w:r>
        <w:rPr>
          <w:rFonts w:ascii="Times New Roman" w:eastAsia="Times New Roman" w:hAnsi="Times New Roman" w:cs="Times New Roman"/>
          <w:sz w:val="24"/>
          <w:szCs w:val="24"/>
          <w:lang w:eastAsia="fr-FR"/>
        </w:rPr>
        <w:t>, 2025</w:t>
      </w:r>
    </w:p>
    <w:p>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Les auteurs ont fait une modélisation médico économique pour estimer l’impact financier à 5 ans d’un </w:t>
      </w:r>
      <w:proofErr w:type="spellStart"/>
      <w:r>
        <w:rPr>
          <w:rFonts w:ascii="Times New Roman" w:eastAsia="Times New Roman" w:hAnsi="Times New Roman" w:cs="Times New Roman"/>
          <w:sz w:val="24"/>
          <w:szCs w:val="24"/>
          <w:lang w:eastAsia="fr-FR"/>
        </w:rPr>
        <w:t>biosimilaire</w:t>
      </w:r>
      <w:proofErr w:type="spellEnd"/>
      <w:r>
        <w:rPr>
          <w:rFonts w:ascii="Times New Roman" w:eastAsia="Times New Roman" w:hAnsi="Times New Roman" w:cs="Times New Roman"/>
          <w:sz w:val="24"/>
          <w:szCs w:val="24"/>
          <w:lang w:eastAsia="fr-FR"/>
        </w:rPr>
        <w:t xml:space="preserve"> de l’</w:t>
      </w:r>
      <w:proofErr w:type="spellStart"/>
      <w:r>
        <w:rPr>
          <w:rFonts w:ascii="Times New Roman" w:eastAsia="Times New Roman" w:hAnsi="Times New Roman" w:cs="Times New Roman"/>
          <w:sz w:val="24"/>
          <w:szCs w:val="24"/>
          <w:lang w:eastAsia="fr-FR"/>
        </w:rPr>
        <w:t>omalizumab</w:t>
      </w:r>
      <w:proofErr w:type="spellEnd"/>
      <w:r>
        <w:rPr>
          <w:rFonts w:ascii="Times New Roman" w:eastAsia="Times New Roman" w:hAnsi="Times New Roman" w:cs="Times New Roman"/>
          <w:sz w:val="24"/>
          <w:szCs w:val="24"/>
          <w:lang w:eastAsia="fr-FR"/>
        </w:rPr>
        <w:t xml:space="preserve"> dans l’asthme, l’UCS et la rhinite chronique avec polypose nasale, dans 23 pays européens. Avec une hypothèse de baisse de prix de 30 %, les économies cumulées pourraient atteindre environ 640 millions d’euros et permettre le traitement de près de 96 000 patients supplémentaires. L’étude soutient le rôle stratégique des biosimilaires pour améliorer l’accessibilité aux biothérapies.</w:t>
      </w:r>
    </w:p>
    <w:p>
      <w:pPr>
        <w:spacing w:before="100" w:beforeAutospacing="1" w:after="100" w:afterAutospacing="1" w:line="240" w:lineRule="auto"/>
        <w:rPr>
          <w:rFonts w:ascii="Times New Roman" w:eastAsia="Times New Roman" w:hAnsi="Times New Roman" w:cs="Times New Roman"/>
          <w:sz w:val="24"/>
          <w:szCs w:val="24"/>
          <w:lang w:eastAsia="fr-FR"/>
        </w:rPr>
      </w:pPr>
      <w:r>
        <w:t>→ Conclusion sans surprise mais intéressant de se rendre compte des chiffres.</w:t>
      </w:r>
    </w:p>
    <w:p>
      <w:pPr>
        <w:spacing w:before="100" w:beforeAutospacing="1" w:after="100" w:afterAutospacing="1" w:line="240" w:lineRule="auto"/>
        <w:rPr>
          <w:rFonts w:ascii="Times New Roman" w:eastAsia="Times New Roman" w:hAnsi="Times New Roman" w:cs="Times New Roman"/>
          <w:sz w:val="24"/>
          <w:szCs w:val="24"/>
          <w:lang w:eastAsia="fr-FR"/>
        </w:rPr>
      </w:pPr>
    </w:p>
    <w:p>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5301842" cy="5479315"/>
            <wp:effectExtent l="0" t="0" r="0" b="0"/>
            <wp:docPr id="1830106952" name="Image 1" descr="Une image contenant texte, carte, capture d’écran,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106952" name="Image 1" descr="Une image contenant texte, carte, capture d’écran, logiciel&#10;&#10;Le contenu généré par l’IA peut être incorrect."/>
                    <pic:cNvPicPr/>
                  </pic:nvPicPr>
                  <pic:blipFill rotWithShape="1">
                    <a:blip r:embed="rId6">
                      <a:extLst>
                        <a:ext uri="{28A0092B-C50C-407E-A947-70E740481C1C}">
                          <a14:useLocalDpi xmlns:a14="http://schemas.microsoft.com/office/drawing/2010/main" val="0"/>
                        </a:ext>
                      </a:extLst>
                    </a:blip>
                    <a:srcRect l="19224" t="25493" r="15247" b="1774"/>
                    <a:stretch>
                      <a:fillRect/>
                    </a:stretch>
                  </pic:blipFill>
                  <pic:spPr bwMode="auto">
                    <a:xfrm>
                      <a:off x="0" y="0"/>
                      <a:ext cx="5312534" cy="5490365"/>
                    </a:xfrm>
                    <a:prstGeom prst="rect">
                      <a:avLst/>
                    </a:prstGeom>
                    <a:ln>
                      <a:noFill/>
                    </a:ln>
                    <a:extLst>
                      <a:ext uri="{53640926-AAD7-44D8-BBD7-CCE9431645EC}">
                        <a14:shadowObscured xmlns:a14="http://schemas.microsoft.com/office/drawing/2010/main"/>
                      </a:ext>
                    </a:extLst>
                  </pic:spPr>
                </pic:pic>
              </a:graphicData>
            </a:graphic>
          </wp:inline>
        </w:drawing>
      </w:r>
    </w:p>
    <w:p>
      <w:pPr>
        <w:spacing w:after="0" w:line="240" w:lineRule="auto"/>
        <w:rPr>
          <w:rFonts w:ascii="Times New Roman" w:eastAsia="Times New Roman" w:hAnsi="Times New Roman" w:cs="Times New Roman"/>
          <w:sz w:val="24"/>
          <w:szCs w:val="24"/>
          <w:lang w:eastAsia="fr-FR"/>
        </w:rPr>
      </w:pPr>
    </w:p>
    <w:p>
      <w:pPr>
        <w:autoSpaceDE w:val="0"/>
        <w:autoSpaceDN w:val="0"/>
        <w:adjustRightInd w:val="0"/>
        <w:spacing w:after="0" w:line="240" w:lineRule="auto"/>
        <w:rPr>
          <w:rFonts w:ascii="Times New Roman" w:hAnsi="Times New Roman" w:cs="Times New Roman"/>
          <w:b/>
          <w:bCs/>
          <w:color w:val="0070C0"/>
          <w:sz w:val="28"/>
          <w:szCs w:val="28"/>
        </w:rPr>
      </w:pPr>
      <w:proofErr w:type="spellStart"/>
      <w:r>
        <w:rPr>
          <w:rFonts w:ascii="Times New Roman" w:hAnsi="Times New Roman" w:cs="Times New Roman"/>
          <w:b/>
          <w:bCs/>
          <w:color w:val="0070C0"/>
          <w:sz w:val="28"/>
          <w:szCs w:val="28"/>
        </w:rPr>
        <w:t>Circulating</w:t>
      </w:r>
      <w:proofErr w:type="spellEnd"/>
      <w:r>
        <w:rPr>
          <w:rFonts w:ascii="Times New Roman" w:hAnsi="Times New Roman" w:cs="Times New Roman"/>
          <w:b/>
          <w:bCs/>
          <w:color w:val="0070C0"/>
          <w:sz w:val="28"/>
          <w:szCs w:val="28"/>
        </w:rPr>
        <w:t xml:space="preserve"> </w:t>
      </w:r>
      <w:proofErr w:type="spellStart"/>
      <w:r>
        <w:rPr>
          <w:rFonts w:ascii="Times New Roman" w:hAnsi="Times New Roman" w:cs="Times New Roman"/>
          <w:b/>
          <w:bCs/>
          <w:color w:val="0070C0"/>
          <w:sz w:val="28"/>
          <w:szCs w:val="28"/>
        </w:rPr>
        <w:t>vitamin</w:t>
      </w:r>
      <w:proofErr w:type="spellEnd"/>
      <w:r>
        <w:rPr>
          <w:rFonts w:ascii="Times New Roman" w:hAnsi="Times New Roman" w:cs="Times New Roman"/>
          <w:b/>
          <w:bCs/>
          <w:color w:val="0070C0"/>
          <w:sz w:val="28"/>
          <w:szCs w:val="28"/>
        </w:rPr>
        <w:t xml:space="preserve"> D concentrations and the </w:t>
      </w:r>
      <w:proofErr w:type="spellStart"/>
      <w:r>
        <w:rPr>
          <w:rFonts w:ascii="Times New Roman" w:hAnsi="Times New Roman" w:cs="Times New Roman"/>
          <w:b/>
          <w:bCs/>
          <w:color w:val="0070C0"/>
          <w:sz w:val="28"/>
          <w:szCs w:val="28"/>
        </w:rPr>
        <w:t>risk</w:t>
      </w:r>
      <w:proofErr w:type="spellEnd"/>
      <w:r>
        <w:rPr>
          <w:rFonts w:ascii="Times New Roman" w:hAnsi="Times New Roman" w:cs="Times New Roman"/>
          <w:b/>
          <w:bCs/>
          <w:color w:val="0070C0"/>
          <w:sz w:val="28"/>
          <w:szCs w:val="28"/>
        </w:rPr>
        <w:t xml:space="preserve"> of </w:t>
      </w:r>
      <w:proofErr w:type="spellStart"/>
      <w:r>
        <w:rPr>
          <w:rFonts w:ascii="Times New Roman" w:hAnsi="Times New Roman" w:cs="Times New Roman"/>
          <w:b/>
          <w:bCs/>
          <w:color w:val="0070C0"/>
          <w:sz w:val="28"/>
          <w:szCs w:val="28"/>
        </w:rPr>
        <w:t>urticaria</w:t>
      </w:r>
      <w:proofErr w:type="spellEnd"/>
      <w:r>
        <w:rPr>
          <w:rFonts w:ascii="Times New Roman" w:hAnsi="Times New Roman" w:cs="Times New Roman"/>
          <w:b/>
          <w:bCs/>
          <w:color w:val="0070C0"/>
          <w:sz w:val="28"/>
          <w:szCs w:val="28"/>
        </w:rPr>
        <w:t xml:space="preserve">: A </w:t>
      </w:r>
      <w:proofErr w:type="spellStart"/>
      <w:r>
        <w:rPr>
          <w:rFonts w:ascii="Times New Roman" w:hAnsi="Times New Roman" w:cs="Times New Roman"/>
          <w:b/>
          <w:bCs/>
          <w:color w:val="0070C0"/>
          <w:sz w:val="28"/>
          <w:szCs w:val="28"/>
        </w:rPr>
        <w:t>bidirectional</w:t>
      </w:r>
      <w:proofErr w:type="spellEnd"/>
      <w:r>
        <w:rPr>
          <w:rFonts w:ascii="Times New Roman" w:hAnsi="Times New Roman" w:cs="Times New Roman"/>
          <w:b/>
          <w:bCs/>
          <w:color w:val="0070C0"/>
          <w:sz w:val="28"/>
          <w:szCs w:val="28"/>
        </w:rPr>
        <w:t xml:space="preserve"> </w:t>
      </w:r>
      <w:proofErr w:type="spellStart"/>
      <w:r>
        <w:rPr>
          <w:rFonts w:ascii="Times New Roman" w:hAnsi="Times New Roman" w:cs="Times New Roman"/>
          <w:b/>
          <w:bCs/>
          <w:color w:val="0070C0"/>
          <w:sz w:val="28"/>
          <w:szCs w:val="28"/>
        </w:rPr>
        <w:t>two-sample</w:t>
      </w:r>
      <w:proofErr w:type="spellEnd"/>
      <w:r>
        <w:rPr>
          <w:rFonts w:ascii="Times New Roman" w:hAnsi="Times New Roman" w:cs="Times New Roman"/>
          <w:b/>
          <w:bCs/>
          <w:color w:val="0070C0"/>
          <w:sz w:val="28"/>
          <w:szCs w:val="28"/>
        </w:rPr>
        <w:t xml:space="preserve"> </w:t>
      </w:r>
      <w:proofErr w:type="spellStart"/>
      <w:r>
        <w:rPr>
          <w:rFonts w:ascii="Times New Roman" w:hAnsi="Times New Roman" w:cs="Times New Roman"/>
          <w:b/>
          <w:bCs/>
          <w:color w:val="0070C0"/>
          <w:sz w:val="28"/>
          <w:szCs w:val="28"/>
        </w:rPr>
        <w:t>Mendelian</w:t>
      </w:r>
      <w:proofErr w:type="spellEnd"/>
      <w:r>
        <w:rPr>
          <w:rFonts w:ascii="Times New Roman" w:hAnsi="Times New Roman" w:cs="Times New Roman"/>
          <w:b/>
          <w:bCs/>
          <w:color w:val="0070C0"/>
          <w:sz w:val="28"/>
          <w:szCs w:val="28"/>
        </w:rPr>
        <w:t xml:space="preserve"> </w:t>
      </w:r>
      <w:proofErr w:type="spellStart"/>
      <w:r>
        <w:rPr>
          <w:rFonts w:ascii="Times New Roman" w:hAnsi="Times New Roman" w:cs="Times New Roman"/>
          <w:b/>
          <w:bCs/>
          <w:color w:val="0070C0"/>
          <w:sz w:val="28"/>
          <w:szCs w:val="28"/>
        </w:rPr>
        <w:t>randomization</w:t>
      </w:r>
      <w:proofErr w:type="spellEnd"/>
      <w:r>
        <w:rPr>
          <w:rFonts w:ascii="Times New Roman" w:hAnsi="Times New Roman" w:cs="Times New Roman"/>
          <w:b/>
          <w:bCs/>
          <w:color w:val="0070C0"/>
          <w:sz w:val="28"/>
          <w:szCs w:val="28"/>
        </w:rPr>
        <w:t xml:space="preserve"> </w:t>
      </w:r>
      <w:proofErr w:type="spellStart"/>
      <w:r>
        <w:rPr>
          <w:rFonts w:ascii="Times New Roman" w:hAnsi="Times New Roman" w:cs="Times New Roman"/>
          <w:b/>
          <w:bCs/>
          <w:color w:val="0070C0"/>
          <w:sz w:val="28"/>
          <w:szCs w:val="28"/>
        </w:rPr>
        <w:t>study</w:t>
      </w:r>
      <w:proofErr w:type="spellEnd"/>
    </w:p>
    <w:p>
      <w:pPr>
        <w:spacing w:before="100" w:beforeAutospacing="1" w:after="100" w:afterAutospacing="1" w:line="240" w:lineRule="auto"/>
        <w:outlineLvl w:val="1"/>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 xml:space="preserve">Vitamine D et risque d’urticaire </w:t>
      </w:r>
    </w:p>
    <w:p>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Chai et al., Asia Pacific Journal of </w:t>
      </w:r>
      <w:proofErr w:type="spellStart"/>
      <w:r>
        <w:rPr>
          <w:rFonts w:ascii="Times New Roman" w:eastAsia="Times New Roman" w:hAnsi="Times New Roman" w:cs="Times New Roman"/>
          <w:sz w:val="24"/>
          <w:szCs w:val="24"/>
          <w:lang w:eastAsia="fr-FR"/>
        </w:rPr>
        <w:t>Clinical</w:t>
      </w:r>
      <w:proofErr w:type="spellEnd"/>
      <w:r>
        <w:rPr>
          <w:rFonts w:ascii="Times New Roman" w:eastAsia="Times New Roman" w:hAnsi="Times New Roman" w:cs="Times New Roman"/>
          <w:sz w:val="24"/>
          <w:szCs w:val="24"/>
          <w:lang w:eastAsia="fr-FR"/>
        </w:rPr>
        <w:t xml:space="preserve"> Nutrition, 2025</w:t>
      </w:r>
    </w:p>
    <w:p>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t xml:space="preserve">Dans cette étude les auteurs explorent la concentration de la vitamine D et de ses métabolites chez des patients européens et le risque d’urticaire. Des taux bas de vitamine D augmenterait le risque d’urticaire. Les résultats suggèrent un effet protecteur potentiel de la vitamine D. Une supplémentation devrait donc être bénéfique et potentiellement préventive mais cela doit être prouvé par d’autres études. </w:t>
      </w:r>
    </w:p>
    <w:p>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Attention toutefois car une supplémentation à l’aveugle n’est pas sans risque.</w:t>
      </w:r>
    </w:p>
    <w:p>
      <w:pPr>
        <w:spacing w:before="100" w:beforeAutospacing="1" w:after="100" w:afterAutospacing="1" w:line="240" w:lineRule="auto"/>
        <w:outlineLvl w:val="1"/>
        <w:rPr>
          <w:rFonts w:ascii="Times New Roman" w:eastAsia="Times New Roman" w:hAnsi="Times New Roman" w:cs="Times New Roman"/>
          <w:b/>
          <w:bCs/>
          <w:color w:val="0070C0"/>
          <w:sz w:val="28"/>
          <w:szCs w:val="28"/>
          <w:lang w:eastAsia="fr-FR"/>
        </w:rPr>
      </w:pPr>
      <w:r>
        <w:rPr>
          <w:rFonts w:ascii="Times New Roman" w:hAnsi="Times New Roman" w:cs="Times New Roman"/>
          <w:b/>
          <w:bCs/>
          <w:color w:val="0070C0"/>
          <w:sz w:val="28"/>
          <w:szCs w:val="28"/>
        </w:rPr>
        <w:lastRenderedPageBreak/>
        <w:t xml:space="preserve">Comparative </w:t>
      </w:r>
      <w:proofErr w:type="spellStart"/>
      <w:r>
        <w:rPr>
          <w:rFonts w:ascii="Times New Roman" w:hAnsi="Times New Roman" w:cs="Times New Roman"/>
          <w:b/>
          <w:bCs/>
          <w:color w:val="0070C0"/>
          <w:sz w:val="28"/>
          <w:szCs w:val="28"/>
        </w:rPr>
        <w:t>efficacy</w:t>
      </w:r>
      <w:proofErr w:type="spellEnd"/>
      <w:r>
        <w:rPr>
          <w:rFonts w:ascii="Times New Roman" w:hAnsi="Times New Roman" w:cs="Times New Roman"/>
          <w:b/>
          <w:bCs/>
          <w:color w:val="0070C0"/>
          <w:sz w:val="28"/>
          <w:szCs w:val="28"/>
        </w:rPr>
        <w:t xml:space="preserve"> of </w:t>
      </w:r>
      <w:proofErr w:type="spellStart"/>
      <w:r>
        <w:rPr>
          <w:rFonts w:ascii="Times New Roman" w:hAnsi="Times New Roman" w:cs="Times New Roman"/>
          <w:b/>
          <w:bCs/>
          <w:color w:val="0070C0"/>
          <w:sz w:val="28"/>
          <w:szCs w:val="28"/>
        </w:rPr>
        <w:t>omalizumab</w:t>
      </w:r>
      <w:proofErr w:type="spellEnd"/>
      <w:r>
        <w:rPr>
          <w:rFonts w:ascii="Times New Roman" w:hAnsi="Times New Roman" w:cs="Times New Roman"/>
          <w:b/>
          <w:bCs/>
          <w:color w:val="0070C0"/>
          <w:sz w:val="28"/>
          <w:szCs w:val="28"/>
        </w:rPr>
        <w:t xml:space="preserve">, </w:t>
      </w:r>
      <w:proofErr w:type="spellStart"/>
      <w:r>
        <w:rPr>
          <w:rFonts w:ascii="Times New Roman" w:hAnsi="Times New Roman" w:cs="Times New Roman"/>
          <w:b/>
          <w:bCs/>
          <w:color w:val="0070C0"/>
          <w:sz w:val="28"/>
          <w:szCs w:val="28"/>
        </w:rPr>
        <w:t>dupilumab</w:t>
      </w:r>
      <w:proofErr w:type="spellEnd"/>
      <w:r>
        <w:rPr>
          <w:rFonts w:ascii="Times New Roman" w:hAnsi="Times New Roman" w:cs="Times New Roman"/>
          <w:b/>
          <w:bCs/>
          <w:color w:val="0070C0"/>
          <w:sz w:val="28"/>
          <w:szCs w:val="28"/>
        </w:rPr>
        <w:t xml:space="preserve">, and </w:t>
      </w:r>
      <w:proofErr w:type="spellStart"/>
      <w:r>
        <w:rPr>
          <w:rFonts w:ascii="Times New Roman" w:hAnsi="Times New Roman" w:cs="Times New Roman"/>
          <w:b/>
          <w:bCs/>
          <w:color w:val="0070C0"/>
          <w:sz w:val="28"/>
          <w:szCs w:val="28"/>
        </w:rPr>
        <w:t>remibrutinib</w:t>
      </w:r>
      <w:proofErr w:type="spellEnd"/>
      <w:r>
        <w:rPr>
          <w:rFonts w:ascii="Times New Roman" w:hAnsi="Times New Roman" w:cs="Times New Roman"/>
          <w:b/>
          <w:bCs/>
          <w:color w:val="0070C0"/>
          <w:sz w:val="28"/>
          <w:szCs w:val="28"/>
        </w:rPr>
        <w:t xml:space="preserve"> in </w:t>
      </w:r>
      <w:proofErr w:type="spellStart"/>
      <w:r>
        <w:rPr>
          <w:rFonts w:ascii="Times New Roman" w:hAnsi="Times New Roman" w:cs="Times New Roman"/>
          <w:b/>
          <w:bCs/>
          <w:color w:val="0070C0"/>
          <w:sz w:val="28"/>
          <w:szCs w:val="28"/>
        </w:rPr>
        <w:t>chronic</w:t>
      </w:r>
      <w:proofErr w:type="spellEnd"/>
      <w:r>
        <w:rPr>
          <w:rFonts w:ascii="Times New Roman" w:hAnsi="Times New Roman" w:cs="Times New Roman"/>
          <w:b/>
          <w:bCs/>
          <w:color w:val="0070C0"/>
          <w:sz w:val="28"/>
          <w:szCs w:val="28"/>
        </w:rPr>
        <w:t xml:space="preserve"> </w:t>
      </w:r>
      <w:proofErr w:type="spellStart"/>
      <w:r>
        <w:rPr>
          <w:rFonts w:ascii="Times New Roman" w:hAnsi="Times New Roman" w:cs="Times New Roman"/>
          <w:b/>
          <w:bCs/>
          <w:color w:val="0070C0"/>
          <w:sz w:val="28"/>
          <w:szCs w:val="28"/>
        </w:rPr>
        <w:t>spontaneous</w:t>
      </w:r>
      <w:proofErr w:type="spellEnd"/>
      <w:r>
        <w:rPr>
          <w:rFonts w:ascii="Times New Roman" w:hAnsi="Times New Roman" w:cs="Times New Roman"/>
          <w:b/>
          <w:bCs/>
          <w:color w:val="0070C0"/>
          <w:sz w:val="28"/>
          <w:szCs w:val="28"/>
        </w:rPr>
        <w:t xml:space="preserve"> </w:t>
      </w:r>
      <w:proofErr w:type="spellStart"/>
      <w:r>
        <w:rPr>
          <w:rFonts w:ascii="Times New Roman" w:hAnsi="Times New Roman" w:cs="Times New Roman"/>
          <w:b/>
          <w:bCs/>
          <w:color w:val="0070C0"/>
          <w:sz w:val="28"/>
          <w:szCs w:val="28"/>
        </w:rPr>
        <w:t>urticaria</w:t>
      </w:r>
      <w:proofErr w:type="spellEnd"/>
      <w:r>
        <w:rPr>
          <w:rFonts w:ascii="Times New Roman" w:hAnsi="Times New Roman" w:cs="Times New Roman"/>
          <w:b/>
          <w:bCs/>
          <w:color w:val="0070C0"/>
          <w:sz w:val="28"/>
          <w:szCs w:val="28"/>
        </w:rPr>
        <w:t xml:space="preserve">: a network </w:t>
      </w:r>
      <w:proofErr w:type="spellStart"/>
      <w:r>
        <w:rPr>
          <w:rFonts w:ascii="Times New Roman" w:hAnsi="Times New Roman" w:cs="Times New Roman"/>
          <w:b/>
          <w:bCs/>
          <w:color w:val="0070C0"/>
          <w:sz w:val="28"/>
          <w:szCs w:val="28"/>
        </w:rPr>
        <w:t>meta-analysis</w:t>
      </w:r>
      <w:proofErr w:type="spellEnd"/>
      <w:r>
        <w:rPr>
          <w:rFonts w:ascii="Times New Roman" w:hAnsi="Times New Roman" w:cs="Times New Roman"/>
          <w:b/>
          <w:bCs/>
          <w:color w:val="0070C0"/>
          <w:sz w:val="28"/>
          <w:szCs w:val="28"/>
        </w:rPr>
        <w:t xml:space="preserve"> of </w:t>
      </w:r>
      <w:proofErr w:type="spellStart"/>
      <w:r>
        <w:rPr>
          <w:rFonts w:ascii="Times New Roman" w:hAnsi="Times New Roman" w:cs="Times New Roman"/>
          <w:b/>
          <w:bCs/>
          <w:color w:val="0070C0"/>
          <w:sz w:val="28"/>
          <w:szCs w:val="28"/>
        </w:rPr>
        <w:t>randomized</w:t>
      </w:r>
      <w:proofErr w:type="spellEnd"/>
      <w:r>
        <w:rPr>
          <w:rFonts w:ascii="Times New Roman" w:hAnsi="Times New Roman" w:cs="Times New Roman"/>
          <w:b/>
          <w:bCs/>
          <w:color w:val="0070C0"/>
          <w:sz w:val="28"/>
          <w:szCs w:val="28"/>
        </w:rPr>
        <w:t xml:space="preserve"> control trials</w:t>
      </w:r>
    </w:p>
    <w:p>
      <w:pPr>
        <w:spacing w:before="100" w:beforeAutospacing="1" w:after="100" w:afterAutospacing="1" w:line="240" w:lineRule="auto"/>
        <w:outlineLvl w:val="1"/>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 xml:space="preserve">Comparaison </w:t>
      </w:r>
      <w:proofErr w:type="spellStart"/>
      <w:r>
        <w:rPr>
          <w:rFonts w:ascii="Times New Roman" w:eastAsia="Times New Roman" w:hAnsi="Times New Roman" w:cs="Times New Roman"/>
          <w:b/>
          <w:bCs/>
          <w:sz w:val="24"/>
          <w:szCs w:val="24"/>
          <w:lang w:eastAsia="fr-FR"/>
        </w:rPr>
        <w:t>omalizumab</w:t>
      </w:r>
      <w:proofErr w:type="spellEnd"/>
      <w:r>
        <w:rPr>
          <w:rFonts w:ascii="Times New Roman" w:eastAsia="Times New Roman" w:hAnsi="Times New Roman" w:cs="Times New Roman"/>
          <w:b/>
          <w:bCs/>
          <w:sz w:val="24"/>
          <w:szCs w:val="24"/>
          <w:lang w:eastAsia="fr-FR"/>
        </w:rPr>
        <w:t xml:space="preserve">, </w:t>
      </w:r>
      <w:proofErr w:type="spellStart"/>
      <w:r>
        <w:rPr>
          <w:rFonts w:ascii="Times New Roman" w:eastAsia="Times New Roman" w:hAnsi="Times New Roman" w:cs="Times New Roman"/>
          <w:b/>
          <w:bCs/>
          <w:sz w:val="24"/>
          <w:szCs w:val="24"/>
          <w:lang w:eastAsia="fr-FR"/>
        </w:rPr>
        <w:t>dupilumab</w:t>
      </w:r>
      <w:proofErr w:type="spellEnd"/>
      <w:r>
        <w:rPr>
          <w:rFonts w:ascii="Times New Roman" w:eastAsia="Times New Roman" w:hAnsi="Times New Roman" w:cs="Times New Roman"/>
          <w:b/>
          <w:bCs/>
          <w:sz w:val="24"/>
          <w:szCs w:val="24"/>
          <w:lang w:eastAsia="fr-FR"/>
        </w:rPr>
        <w:t xml:space="preserve"> et </w:t>
      </w:r>
      <w:proofErr w:type="spellStart"/>
      <w:r>
        <w:rPr>
          <w:rFonts w:ascii="Times New Roman" w:eastAsia="Times New Roman" w:hAnsi="Times New Roman" w:cs="Times New Roman"/>
          <w:b/>
          <w:bCs/>
          <w:sz w:val="24"/>
          <w:szCs w:val="24"/>
          <w:lang w:eastAsia="fr-FR"/>
        </w:rPr>
        <w:t>remibrutinib</w:t>
      </w:r>
      <w:proofErr w:type="spellEnd"/>
      <w:r>
        <w:rPr>
          <w:rFonts w:ascii="Times New Roman" w:eastAsia="Times New Roman" w:hAnsi="Times New Roman" w:cs="Times New Roman"/>
          <w:b/>
          <w:bCs/>
          <w:sz w:val="24"/>
          <w:szCs w:val="24"/>
          <w:lang w:eastAsia="fr-FR"/>
        </w:rPr>
        <w:t xml:space="preserve"> (network </w:t>
      </w:r>
      <w:proofErr w:type="spellStart"/>
      <w:r>
        <w:rPr>
          <w:rFonts w:ascii="Times New Roman" w:eastAsia="Times New Roman" w:hAnsi="Times New Roman" w:cs="Times New Roman"/>
          <w:b/>
          <w:bCs/>
          <w:sz w:val="24"/>
          <w:szCs w:val="24"/>
          <w:lang w:eastAsia="fr-FR"/>
        </w:rPr>
        <w:t>meta-analysis</w:t>
      </w:r>
      <w:proofErr w:type="spellEnd"/>
      <w:r>
        <w:rPr>
          <w:rFonts w:ascii="Times New Roman" w:eastAsia="Times New Roman" w:hAnsi="Times New Roman" w:cs="Times New Roman"/>
          <w:b/>
          <w:bCs/>
          <w:sz w:val="24"/>
          <w:szCs w:val="24"/>
          <w:lang w:eastAsia="fr-FR"/>
        </w:rPr>
        <w:t>)</w:t>
      </w:r>
    </w:p>
    <w:p>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Pr>
          <w:rFonts w:ascii="Times New Roman" w:eastAsia="Times New Roman" w:hAnsi="Times New Roman" w:cs="Times New Roman"/>
          <w:sz w:val="24"/>
          <w:szCs w:val="24"/>
          <w:lang w:eastAsia="fr-FR"/>
        </w:rPr>
        <w:t>Xiong</w:t>
      </w:r>
      <w:proofErr w:type="spellEnd"/>
      <w:r>
        <w:rPr>
          <w:rFonts w:ascii="Times New Roman" w:eastAsia="Times New Roman" w:hAnsi="Times New Roman" w:cs="Times New Roman"/>
          <w:sz w:val="24"/>
          <w:szCs w:val="24"/>
          <w:lang w:eastAsia="fr-FR"/>
        </w:rPr>
        <w:t xml:space="preserve"> et al., Journal of Dermatological </w:t>
      </w:r>
      <w:proofErr w:type="spellStart"/>
      <w:r>
        <w:rPr>
          <w:rFonts w:ascii="Times New Roman" w:eastAsia="Times New Roman" w:hAnsi="Times New Roman" w:cs="Times New Roman"/>
          <w:sz w:val="24"/>
          <w:szCs w:val="24"/>
          <w:lang w:eastAsia="fr-FR"/>
        </w:rPr>
        <w:t>Treatment</w:t>
      </w:r>
      <w:proofErr w:type="spellEnd"/>
      <w:r>
        <w:rPr>
          <w:rFonts w:ascii="Times New Roman" w:eastAsia="Times New Roman" w:hAnsi="Times New Roman" w:cs="Times New Roman"/>
          <w:sz w:val="24"/>
          <w:szCs w:val="24"/>
          <w:lang w:eastAsia="fr-FR"/>
        </w:rPr>
        <w:t>, 2025</w:t>
      </w:r>
    </w:p>
    <w:p>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t>Cette méta-analyse compare l’efficacité de l’</w:t>
      </w:r>
      <w:proofErr w:type="spellStart"/>
      <w:r>
        <w:rPr>
          <w:rFonts w:ascii="Times New Roman" w:eastAsia="Times New Roman" w:hAnsi="Times New Roman" w:cs="Times New Roman"/>
          <w:sz w:val="24"/>
          <w:szCs w:val="24"/>
          <w:lang w:eastAsia="fr-FR"/>
        </w:rPr>
        <w:t>omalizumab</w:t>
      </w:r>
      <w:proofErr w:type="spellEnd"/>
      <w:r>
        <w:rPr>
          <w:rFonts w:ascii="Times New Roman" w:eastAsia="Times New Roman" w:hAnsi="Times New Roman" w:cs="Times New Roman"/>
          <w:sz w:val="24"/>
          <w:szCs w:val="24"/>
          <w:lang w:eastAsia="fr-FR"/>
        </w:rPr>
        <w:t xml:space="preserve">, du </w:t>
      </w:r>
      <w:proofErr w:type="spellStart"/>
      <w:r>
        <w:rPr>
          <w:rFonts w:ascii="Times New Roman" w:eastAsia="Times New Roman" w:hAnsi="Times New Roman" w:cs="Times New Roman"/>
          <w:sz w:val="24"/>
          <w:szCs w:val="24"/>
          <w:lang w:eastAsia="fr-FR"/>
        </w:rPr>
        <w:t>dupilumab</w:t>
      </w:r>
      <w:proofErr w:type="spellEnd"/>
      <w:r>
        <w:rPr>
          <w:rFonts w:ascii="Times New Roman" w:eastAsia="Times New Roman" w:hAnsi="Times New Roman" w:cs="Times New Roman"/>
          <w:sz w:val="24"/>
          <w:szCs w:val="24"/>
          <w:lang w:eastAsia="fr-FR"/>
        </w:rPr>
        <w:t xml:space="preserve"> et du </w:t>
      </w:r>
      <w:proofErr w:type="spellStart"/>
      <w:r>
        <w:rPr>
          <w:rFonts w:ascii="Times New Roman" w:eastAsia="Times New Roman" w:hAnsi="Times New Roman" w:cs="Times New Roman"/>
          <w:sz w:val="24"/>
          <w:szCs w:val="24"/>
          <w:lang w:eastAsia="fr-FR"/>
        </w:rPr>
        <w:t>remibrutinib</w:t>
      </w:r>
      <w:proofErr w:type="spellEnd"/>
      <w:r>
        <w:rPr>
          <w:rFonts w:ascii="Times New Roman" w:eastAsia="Times New Roman" w:hAnsi="Times New Roman" w:cs="Times New Roman"/>
          <w:sz w:val="24"/>
          <w:szCs w:val="24"/>
          <w:lang w:eastAsia="fr-FR"/>
        </w:rPr>
        <w:t xml:space="preserve"> dans l’UCS à partir de 15 essais randomisés (4913 patients). L’</w:t>
      </w:r>
      <w:proofErr w:type="spellStart"/>
      <w:r>
        <w:rPr>
          <w:rFonts w:ascii="Times New Roman" w:eastAsia="Times New Roman" w:hAnsi="Times New Roman" w:cs="Times New Roman"/>
          <w:sz w:val="24"/>
          <w:szCs w:val="24"/>
          <w:lang w:eastAsia="fr-FR"/>
        </w:rPr>
        <w:t>omalizumab</w:t>
      </w:r>
      <w:proofErr w:type="spellEnd"/>
      <w:r>
        <w:rPr>
          <w:rFonts w:ascii="Times New Roman" w:eastAsia="Times New Roman" w:hAnsi="Times New Roman" w:cs="Times New Roman"/>
          <w:sz w:val="24"/>
          <w:szCs w:val="24"/>
          <w:lang w:eastAsia="fr-FR"/>
        </w:rPr>
        <w:t xml:space="preserve"> 300 mg toutes les 4 semaines apparaît comme le traitement le plus efficace sur le contrôle des symptômes et la rémission et ce à 12 et 24 semaines. Le </w:t>
      </w:r>
      <w:proofErr w:type="spellStart"/>
      <w:r>
        <w:rPr>
          <w:rFonts w:ascii="Times New Roman" w:eastAsia="Times New Roman" w:hAnsi="Times New Roman" w:cs="Times New Roman"/>
          <w:sz w:val="24"/>
          <w:szCs w:val="24"/>
          <w:lang w:eastAsia="fr-FR"/>
        </w:rPr>
        <w:t>remibrutinib</w:t>
      </w:r>
      <w:proofErr w:type="spellEnd"/>
      <w:r>
        <w:rPr>
          <w:rFonts w:ascii="Times New Roman" w:eastAsia="Times New Roman" w:hAnsi="Times New Roman" w:cs="Times New Roman"/>
          <w:sz w:val="24"/>
          <w:szCs w:val="24"/>
          <w:lang w:eastAsia="fr-FR"/>
        </w:rPr>
        <w:t xml:space="preserve"> arrive en deuxième avec un fort impact sur la qualité de vie, tandis que le </w:t>
      </w:r>
      <w:proofErr w:type="spellStart"/>
      <w:r>
        <w:rPr>
          <w:rFonts w:ascii="Times New Roman" w:eastAsia="Times New Roman" w:hAnsi="Times New Roman" w:cs="Times New Roman"/>
          <w:sz w:val="24"/>
          <w:szCs w:val="24"/>
          <w:lang w:eastAsia="fr-FR"/>
        </w:rPr>
        <w:t>dupilumab</w:t>
      </w:r>
      <w:proofErr w:type="spellEnd"/>
      <w:r>
        <w:rPr>
          <w:rFonts w:ascii="Times New Roman" w:eastAsia="Times New Roman" w:hAnsi="Times New Roman" w:cs="Times New Roman"/>
          <w:sz w:val="24"/>
          <w:szCs w:val="24"/>
          <w:lang w:eastAsia="fr-FR"/>
        </w:rPr>
        <w:t xml:space="preserve"> agit principalement sur le prurit avec une efficacité plus tardive et moindre. Les résultats confirment l’</w:t>
      </w:r>
      <w:proofErr w:type="spellStart"/>
      <w:r>
        <w:rPr>
          <w:rFonts w:ascii="Times New Roman" w:eastAsia="Times New Roman" w:hAnsi="Times New Roman" w:cs="Times New Roman"/>
          <w:sz w:val="24"/>
          <w:szCs w:val="24"/>
          <w:lang w:eastAsia="fr-FR"/>
        </w:rPr>
        <w:t>omalizumab</w:t>
      </w:r>
      <w:proofErr w:type="spellEnd"/>
      <w:r>
        <w:rPr>
          <w:rFonts w:ascii="Times New Roman" w:eastAsia="Times New Roman" w:hAnsi="Times New Roman" w:cs="Times New Roman"/>
          <w:sz w:val="24"/>
          <w:szCs w:val="24"/>
          <w:lang w:eastAsia="fr-FR"/>
        </w:rPr>
        <w:t xml:space="preserve"> comme référence, mais il serait intéressant de comparer directement ces molécules entre elle.</w:t>
      </w:r>
    </w:p>
    <w:p>
      <w:pPr>
        <w:spacing w:before="100" w:beforeAutospacing="1" w:after="100" w:afterAutospacing="1" w:line="240" w:lineRule="auto"/>
        <w:outlineLvl w:val="1"/>
        <w:rPr>
          <w:rFonts w:ascii="Times New Roman" w:eastAsia="Times New Roman" w:hAnsi="Times New Roman" w:cs="Times New Roman"/>
          <w:sz w:val="24"/>
          <w:szCs w:val="24"/>
          <w:lang w:eastAsia="fr-FR"/>
        </w:rPr>
      </w:pPr>
    </w:p>
    <w:p>
      <w:pPr>
        <w:pStyle w:val="Default"/>
      </w:pPr>
    </w:p>
    <w:p>
      <w:pPr>
        <w:spacing w:before="100" w:beforeAutospacing="1" w:after="100" w:afterAutospacing="1" w:line="240" w:lineRule="auto"/>
        <w:outlineLvl w:val="1"/>
        <w:rPr>
          <w:rFonts w:ascii="Times New Roman" w:eastAsia="Times New Roman" w:hAnsi="Times New Roman" w:cs="Times New Roman"/>
          <w:b/>
          <w:bCs/>
          <w:color w:val="0070C0"/>
          <w:sz w:val="28"/>
          <w:szCs w:val="28"/>
          <w:lang w:eastAsia="fr-FR"/>
        </w:rPr>
      </w:pPr>
      <w:r>
        <w:rPr>
          <w:rFonts w:ascii="Times New Roman" w:hAnsi="Times New Roman" w:cs="Times New Roman"/>
          <w:b/>
          <w:bCs/>
          <w:color w:val="0070C0"/>
          <w:sz w:val="28"/>
          <w:szCs w:val="28"/>
        </w:rPr>
        <w:t xml:space="preserve"> </w:t>
      </w:r>
      <w:proofErr w:type="spellStart"/>
      <w:r>
        <w:rPr>
          <w:rFonts w:ascii="Times New Roman" w:hAnsi="Times New Roman" w:cs="Times New Roman"/>
          <w:b/>
          <w:bCs/>
          <w:color w:val="0070C0"/>
          <w:sz w:val="28"/>
          <w:szCs w:val="28"/>
        </w:rPr>
        <w:t>Efficacy</w:t>
      </w:r>
      <w:proofErr w:type="spellEnd"/>
      <w:r>
        <w:rPr>
          <w:rFonts w:ascii="Times New Roman" w:hAnsi="Times New Roman" w:cs="Times New Roman"/>
          <w:b/>
          <w:bCs/>
          <w:color w:val="0070C0"/>
          <w:sz w:val="28"/>
          <w:szCs w:val="28"/>
        </w:rPr>
        <w:t xml:space="preserve"> and </w:t>
      </w:r>
      <w:proofErr w:type="spellStart"/>
      <w:r>
        <w:rPr>
          <w:rFonts w:ascii="Times New Roman" w:hAnsi="Times New Roman" w:cs="Times New Roman"/>
          <w:b/>
          <w:bCs/>
          <w:color w:val="0070C0"/>
          <w:sz w:val="28"/>
          <w:szCs w:val="28"/>
        </w:rPr>
        <w:t>safety</w:t>
      </w:r>
      <w:proofErr w:type="spellEnd"/>
      <w:r>
        <w:rPr>
          <w:rFonts w:ascii="Times New Roman" w:hAnsi="Times New Roman" w:cs="Times New Roman"/>
          <w:b/>
          <w:bCs/>
          <w:color w:val="0070C0"/>
          <w:sz w:val="28"/>
          <w:szCs w:val="28"/>
        </w:rPr>
        <w:t xml:space="preserve"> of </w:t>
      </w:r>
      <w:proofErr w:type="spellStart"/>
      <w:r>
        <w:rPr>
          <w:rFonts w:ascii="Times New Roman" w:hAnsi="Times New Roman" w:cs="Times New Roman"/>
          <w:b/>
          <w:bCs/>
          <w:color w:val="0070C0"/>
          <w:sz w:val="28"/>
          <w:szCs w:val="28"/>
        </w:rPr>
        <w:t>probiotics</w:t>
      </w:r>
      <w:proofErr w:type="spellEnd"/>
      <w:r>
        <w:rPr>
          <w:rFonts w:ascii="Times New Roman" w:hAnsi="Times New Roman" w:cs="Times New Roman"/>
          <w:b/>
          <w:bCs/>
          <w:color w:val="0070C0"/>
          <w:sz w:val="28"/>
          <w:szCs w:val="28"/>
        </w:rPr>
        <w:t xml:space="preserve"> as a </w:t>
      </w:r>
      <w:proofErr w:type="spellStart"/>
      <w:r>
        <w:rPr>
          <w:rFonts w:ascii="Times New Roman" w:hAnsi="Times New Roman" w:cs="Times New Roman"/>
          <w:b/>
          <w:bCs/>
          <w:color w:val="0070C0"/>
          <w:sz w:val="28"/>
          <w:szCs w:val="28"/>
        </w:rPr>
        <w:t>complementary</w:t>
      </w:r>
      <w:proofErr w:type="spellEnd"/>
      <w:r>
        <w:rPr>
          <w:rFonts w:ascii="Times New Roman" w:hAnsi="Times New Roman" w:cs="Times New Roman"/>
          <w:b/>
          <w:bCs/>
          <w:color w:val="0070C0"/>
          <w:sz w:val="28"/>
          <w:szCs w:val="28"/>
        </w:rPr>
        <w:t xml:space="preserve"> </w:t>
      </w:r>
      <w:proofErr w:type="spellStart"/>
      <w:r>
        <w:rPr>
          <w:rFonts w:ascii="Times New Roman" w:hAnsi="Times New Roman" w:cs="Times New Roman"/>
          <w:b/>
          <w:bCs/>
          <w:color w:val="0070C0"/>
          <w:sz w:val="28"/>
          <w:szCs w:val="28"/>
        </w:rPr>
        <w:t>treatment</w:t>
      </w:r>
      <w:proofErr w:type="spellEnd"/>
      <w:r>
        <w:rPr>
          <w:rFonts w:ascii="Times New Roman" w:hAnsi="Times New Roman" w:cs="Times New Roman"/>
          <w:b/>
          <w:bCs/>
          <w:color w:val="0070C0"/>
          <w:sz w:val="28"/>
          <w:szCs w:val="28"/>
        </w:rPr>
        <w:t xml:space="preserve"> for </w:t>
      </w:r>
      <w:proofErr w:type="spellStart"/>
      <w:r>
        <w:rPr>
          <w:rFonts w:ascii="Times New Roman" w:hAnsi="Times New Roman" w:cs="Times New Roman"/>
          <w:b/>
          <w:bCs/>
          <w:color w:val="0070C0"/>
          <w:sz w:val="28"/>
          <w:szCs w:val="28"/>
        </w:rPr>
        <w:t>urticaria</w:t>
      </w:r>
      <w:proofErr w:type="spellEnd"/>
      <w:r>
        <w:rPr>
          <w:rFonts w:ascii="Times New Roman" w:hAnsi="Times New Roman" w:cs="Times New Roman"/>
          <w:b/>
          <w:bCs/>
          <w:color w:val="0070C0"/>
          <w:sz w:val="28"/>
          <w:szCs w:val="28"/>
        </w:rPr>
        <w:t xml:space="preserve">: </w:t>
      </w:r>
      <w:proofErr w:type="spellStart"/>
      <w:r>
        <w:rPr>
          <w:rFonts w:ascii="Times New Roman" w:hAnsi="Times New Roman" w:cs="Times New Roman"/>
          <w:b/>
          <w:bCs/>
          <w:color w:val="0070C0"/>
          <w:sz w:val="28"/>
          <w:szCs w:val="28"/>
        </w:rPr>
        <w:t>a</w:t>
      </w:r>
      <w:proofErr w:type="spellEnd"/>
      <w:r>
        <w:rPr>
          <w:rFonts w:ascii="Times New Roman" w:hAnsi="Times New Roman" w:cs="Times New Roman"/>
          <w:b/>
          <w:bCs/>
          <w:color w:val="0070C0"/>
          <w:sz w:val="28"/>
          <w:szCs w:val="28"/>
        </w:rPr>
        <w:t xml:space="preserve"> </w:t>
      </w:r>
      <w:proofErr w:type="spellStart"/>
      <w:r>
        <w:rPr>
          <w:rFonts w:ascii="Times New Roman" w:hAnsi="Times New Roman" w:cs="Times New Roman"/>
          <w:b/>
          <w:bCs/>
          <w:color w:val="0070C0"/>
          <w:sz w:val="28"/>
          <w:szCs w:val="28"/>
        </w:rPr>
        <w:t>systematic</w:t>
      </w:r>
      <w:proofErr w:type="spellEnd"/>
      <w:r>
        <w:rPr>
          <w:rFonts w:ascii="Times New Roman" w:hAnsi="Times New Roman" w:cs="Times New Roman"/>
          <w:b/>
          <w:bCs/>
          <w:color w:val="0070C0"/>
          <w:sz w:val="28"/>
          <w:szCs w:val="28"/>
        </w:rPr>
        <w:t xml:space="preserve"> </w:t>
      </w:r>
      <w:proofErr w:type="spellStart"/>
      <w:r>
        <w:rPr>
          <w:rFonts w:ascii="Times New Roman" w:hAnsi="Times New Roman" w:cs="Times New Roman"/>
          <w:b/>
          <w:bCs/>
          <w:color w:val="0070C0"/>
          <w:sz w:val="28"/>
          <w:szCs w:val="28"/>
        </w:rPr>
        <w:t>review</w:t>
      </w:r>
      <w:proofErr w:type="spellEnd"/>
      <w:r>
        <w:rPr>
          <w:rFonts w:ascii="Times New Roman" w:hAnsi="Times New Roman" w:cs="Times New Roman"/>
          <w:b/>
          <w:bCs/>
          <w:color w:val="0070C0"/>
          <w:sz w:val="28"/>
          <w:szCs w:val="28"/>
        </w:rPr>
        <w:t xml:space="preserve"> and </w:t>
      </w:r>
      <w:proofErr w:type="spellStart"/>
      <w:r>
        <w:rPr>
          <w:rFonts w:ascii="Times New Roman" w:hAnsi="Times New Roman" w:cs="Times New Roman"/>
          <w:b/>
          <w:bCs/>
          <w:color w:val="0070C0"/>
          <w:sz w:val="28"/>
          <w:szCs w:val="28"/>
        </w:rPr>
        <w:t>meta-analysis</w:t>
      </w:r>
      <w:proofErr w:type="spellEnd"/>
    </w:p>
    <w:p>
      <w:pPr>
        <w:spacing w:before="100" w:beforeAutospacing="1" w:after="100" w:afterAutospacing="1" w:line="240" w:lineRule="auto"/>
        <w:outlineLvl w:val="1"/>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Probiotiques comme traitement adjuvant de l’urticaire</w:t>
      </w:r>
    </w:p>
    <w:p>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Tan et al., </w:t>
      </w:r>
      <w:proofErr w:type="spellStart"/>
      <w:r>
        <w:rPr>
          <w:rFonts w:ascii="Times New Roman" w:eastAsia="Times New Roman" w:hAnsi="Times New Roman" w:cs="Times New Roman"/>
          <w:sz w:val="24"/>
          <w:szCs w:val="24"/>
          <w:lang w:eastAsia="fr-FR"/>
        </w:rPr>
        <w:t>Frontiers</w:t>
      </w:r>
      <w:proofErr w:type="spellEnd"/>
      <w:r>
        <w:rPr>
          <w:rFonts w:ascii="Times New Roman" w:eastAsia="Times New Roman" w:hAnsi="Times New Roman" w:cs="Times New Roman"/>
          <w:sz w:val="24"/>
          <w:szCs w:val="24"/>
          <w:lang w:eastAsia="fr-FR"/>
        </w:rPr>
        <w:t xml:space="preserve"> in </w:t>
      </w:r>
      <w:proofErr w:type="spellStart"/>
      <w:r>
        <w:rPr>
          <w:rFonts w:ascii="Times New Roman" w:eastAsia="Times New Roman" w:hAnsi="Times New Roman" w:cs="Times New Roman"/>
          <w:sz w:val="24"/>
          <w:szCs w:val="24"/>
          <w:lang w:eastAsia="fr-FR"/>
        </w:rPr>
        <w:t>Microbiology</w:t>
      </w:r>
      <w:proofErr w:type="spellEnd"/>
      <w:r>
        <w:rPr>
          <w:rFonts w:ascii="Times New Roman" w:eastAsia="Times New Roman" w:hAnsi="Times New Roman" w:cs="Times New Roman"/>
          <w:sz w:val="24"/>
          <w:szCs w:val="24"/>
          <w:lang w:eastAsia="fr-FR"/>
        </w:rPr>
        <w:t>, 2025</w:t>
      </w:r>
    </w:p>
    <w:p>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t xml:space="preserve">Cette méta-analyse (11 essais, 1 014 patients) évalue l’efficacité des probiotiques associés aux antihistaminiques comparés aux antihistaminiques seuls sur l’UAS7, le DLQI, Le risque de récurrence, les taux d’IL 10 et </w:t>
      </w:r>
      <w:proofErr w:type="spellStart"/>
      <w:r>
        <w:rPr>
          <w:rFonts w:ascii="Times New Roman" w:eastAsia="Times New Roman" w:hAnsi="Times New Roman" w:cs="Times New Roman"/>
          <w:sz w:val="24"/>
          <w:szCs w:val="24"/>
          <w:lang w:eastAsia="fr-FR"/>
        </w:rPr>
        <w:t>INFg</w:t>
      </w:r>
      <w:proofErr w:type="spellEnd"/>
      <w:r>
        <w:rPr>
          <w:rFonts w:ascii="Times New Roman" w:eastAsia="Times New Roman" w:hAnsi="Times New Roman" w:cs="Times New Roman"/>
          <w:sz w:val="24"/>
          <w:szCs w:val="24"/>
          <w:lang w:eastAsia="fr-FR"/>
        </w:rPr>
        <w:t xml:space="preserve"> et le taux d’évènements indésirables. L’ajout de probiotiques au traitement antihistaminique améliore le taux de réponse clinique, réduit l’activité de la maladie (UAS7), améliore la qualité de vie, diminue les récidives et les effets indésirables. Les auteurs concluent à un potentiel intérêt clinique, sous réserve d’essais de meilleure qualité. </w:t>
      </w:r>
      <w:bookmarkStart w:id="0" w:name="_GoBack"/>
      <w:bookmarkEnd w:id="0"/>
    </w:p>
    <w:p>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3816513" cy="2944536"/>
            <wp:effectExtent l="0" t="0" r="6350" b="1905"/>
            <wp:docPr id="1229468925" name="Image 2"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68925" name="Image 2" descr="Une image contenant texte, capture d’écran, logiciel, Page web&#10;&#10;Le contenu généré par l’IA peut être incorrect."/>
                    <pic:cNvPicPr/>
                  </pic:nvPicPr>
                  <pic:blipFill rotWithShape="1">
                    <a:blip r:embed="rId7">
                      <a:extLst>
                        <a:ext uri="{28A0092B-C50C-407E-A947-70E740481C1C}">
                          <a14:useLocalDpi xmlns:a14="http://schemas.microsoft.com/office/drawing/2010/main" val="0"/>
                        </a:ext>
                      </a:extLst>
                    </a:blip>
                    <a:srcRect l="17768" t="27214" r="15975" b="17885"/>
                    <a:stretch>
                      <a:fillRect/>
                    </a:stretch>
                  </pic:blipFill>
                  <pic:spPr bwMode="auto">
                    <a:xfrm>
                      <a:off x="0" y="0"/>
                      <a:ext cx="3816890" cy="2944827"/>
                    </a:xfrm>
                    <a:prstGeom prst="rect">
                      <a:avLst/>
                    </a:prstGeom>
                    <a:ln>
                      <a:noFill/>
                    </a:ln>
                    <a:extLst>
                      <a:ext uri="{53640926-AAD7-44D8-BBD7-CCE9431645EC}">
                        <a14:shadowObscured xmlns:a14="http://schemas.microsoft.com/office/drawing/2010/main"/>
                      </a:ext>
                    </a:extLst>
                  </pic:spPr>
                </pic:pic>
              </a:graphicData>
            </a:graphic>
          </wp:inline>
        </w:drawing>
      </w:r>
    </w:p>
    <w:p>
      <w:pPr>
        <w:spacing w:after="0" w:line="240" w:lineRule="auto"/>
        <w:rPr>
          <w:rFonts w:ascii="Times New Roman" w:eastAsia="Times New Roman" w:hAnsi="Times New Roman" w:cs="Times New Roman"/>
          <w:sz w:val="24"/>
          <w:szCs w:val="24"/>
          <w:lang w:eastAsia="fr-FR"/>
        </w:rPr>
      </w:pPr>
    </w:p>
    <w:p>
      <w:pPr>
        <w:autoSpaceDE w:val="0"/>
        <w:autoSpaceDN w:val="0"/>
        <w:adjustRightInd w:val="0"/>
        <w:spacing w:after="0" w:line="240" w:lineRule="auto"/>
        <w:rPr>
          <w:rFonts w:ascii="Times New Roman" w:hAnsi="Times New Roman" w:cs="Times New Roman"/>
          <w:color w:val="0070C0"/>
          <w:sz w:val="28"/>
          <w:szCs w:val="28"/>
        </w:rPr>
      </w:pPr>
      <w:proofErr w:type="spellStart"/>
      <w:r>
        <w:rPr>
          <w:rFonts w:ascii="Times New Roman" w:hAnsi="Times New Roman" w:cs="Times New Roman"/>
          <w:color w:val="0070C0"/>
          <w:sz w:val="28"/>
          <w:szCs w:val="28"/>
        </w:rPr>
        <w:t>Towards</w:t>
      </w:r>
      <w:proofErr w:type="spellEnd"/>
      <w:r>
        <w:rPr>
          <w:rFonts w:ascii="Times New Roman" w:hAnsi="Times New Roman" w:cs="Times New Roman"/>
          <w:color w:val="0070C0"/>
          <w:sz w:val="28"/>
          <w:szCs w:val="28"/>
        </w:rPr>
        <w:t xml:space="preserve"> </w:t>
      </w:r>
      <w:proofErr w:type="spellStart"/>
      <w:r>
        <w:rPr>
          <w:rFonts w:ascii="Times New Roman" w:hAnsi="Times New Roman" w:cs="Times New Roman"/>
          <w:color w:val="0070C0"/>
          <w:sz w:val="28"/>
          <w:szCs w:val="28"/>
        </w:rPr>
        <w:t>Personalised</w:t>
      </w:r>
      <w:proofErr w:type="spellEnd"/>
      <w:r>
        <w:rPr>
          <w:rFonts w:ascii="Times New Roman" w:hAnsi="Times New Roman" w:cs="Times New Roman"/>
          <w:color w:val="0070C0"/>
          <w:sz w:val="28"/>
          <w:szCs w:val="28"/>
        </w:rPr>
        <w:t xml:space="preserve"> </w:t>
      </w:r>
      <w:proofErr w:type="spellStart"/>
      <w:r>
        <w:rPr>
          <w:rFonts w:ascii="Times New Roman" w:hAnsi="Times New Roman" w:cs="Times New Roman"/>
          <w:color w:val="0070C0"/>
          <w:sz w:val="28"/>
          <w:szCs w:val="28"/>
        </w:rPr>
        <w:t>Therapy</w:t>
      </w:r>
      <w:proofErr w:type="spellEnd"/>
      <w:r>
        <w:rPr>
          <w:rFonts w:ascii="Times New Roman" w:hAnsi="Times New Roman" w:cs="Times New Roman"/>
          <w:color w:val="0070C0"/>
          <w:sz w:val="28"/>
          <w:szCs w:val="28"/>
        </w:rPr>
        <w:t xml:space="preserve"> in </w:t>
      </w:r>
      <w:proofErr w:type="spellStart"/>
      <w:r>
        <w:rPr>
          <w:rFonts w:ascii="Times New Roman" w:hAnsi="Times New Roman" w:cs="Times New Roman"/>
          <w:color w:val="0070C0"/>
          <w:sz w:val="28"/>
          <w:szCs w:val="28"/>
        </w:rPr>
        <w:t>Chronic</w:t>
      </w:r>
      <w:proofErr w:type="spellEnd"/>
      <w:r>
        <w:rPr>
          <w:rFonts w:ascii="Times New Roman" w:hAnsi="Times New Roman" w:cs="Times New Roman"/>
          <w:color w:val="0070C0"/>
          <w:sz w:val="28"/>
          <w:szCs w:val="28"/>
        </w:rPr>
        <w:t xml:space="preserve"> </w:t>
      </w:r>
      <w:proofErr w:type="spellStart"/>
      <w:r>
        <w:rPr>
          <w:rFonts w:ascii="Times New Roman" w:hAnsi="Times New Roman" w:cs="Times New Roman"/>
          <w:color w:val="0070C0"/>
          <w:sz w:val="28"/>
          <w:szCs w:val="28"/>
        </w:rPr>
        <w:t>Spontaneous</w:t>
      </w:r>
      <w:proofErr w:type="spellEnd"/>
      <w:r>
        <w:rPr>
          <w:rFonts w:ascii="Times New Roman" w:hAnsi="Times New Roman" w:cs="Times New Roman"/>
          <w:color w:val="0070C0"/>
          <w:sz w:val="28"/>
          <w:szCs w:val="28"/>
        </w:rPr>
        <w:t xml:space="preserve"> </w:t>
      </w:r>
      <w:proofErr w:type="spellStart"/>
      <w:r>
        <w:rPr>
          <w:rFonts w:ascii="Times New Roman" w:hAnsi="Times New Roman" w:cs="Times New Roman"/>
          <w:color w:val="0070C0"/>
          <w:sz w:val="28"/>
          <w:szCs w:val="28"/>
        </w:rPr>
        <w:t>Urticaria</w:t>
      </w:r>
      <w:proofErr w:type="spellEnd"/>
      <w:r>
        <w:rPr>
          <w:rFonts w:ascii="Times New Roman" w:hAnsi="Times New Roman" w:cs="Times New Roman"/>
          <w:color w:val="0070C0"/>
          <w:sz w:val="28"/>
          <w:szCs w:val="28"/>
        </w:rPr>
        <w:t xml:space="preserve">: </w:t>
      </w:r>
      <w:proofErr w:type="spellStart"/>
      <w:r>
        <w:rPr>
          <w:rFonts w:ascii="Times New Roman" w:hAnsi="Times New Roman" w:cs="Times New Roman"/>
          <w:color w:val="0070C0"/>
          <w:sz w:val="28"/>
          <w:szCs w:val="28"/>
        </w:rPr>
        <w:t>Advancing</w:t>
      </w:r>
      <w:proofErr w:type="spellEnd"/>
      <w:r>
        <w:rPr>
          <w:rFonts w:ascii="Times New Roman" w:hAnsi="Times New Roman" w:cs="Times New Roman"/>
          <w:color w:val="0070C0"/>
          <w:sz w:val="28"/>
          <w:szCs w:val="28"/>
        </w:rPr>
        <w:t xml:space="preserve"> </w:t>
      </w:r>
      <w:proofErr w:type="spellStart"/>
      <w:r>
        <w:rPr>
          <w:rFonts w:ascii="Times New Roman" w:hAnsi="Times New Roman" w:cs="Times New Roman"/>
          <w:color w:val="0070C0"/>
          <w:sz w:val="28"/>
          <w:szCs w:val="28"/>
        </w:rPr>
        <w:t>From</w:t>
      </w:r>
      <w:proofErr w:type="spellEnd"/>
      <w:r>
        <w:rPr>
          <w:rFonts w:ascii="Times New Roman" w:hAnsi="Times New Roman" w:cs="Times New Roman"/>
          <w:color w:val="0070C0"/>
          <w:sz w:val="28"/>
          <w:szCs w:val="28"/>
        </w:rPr>
        <w:t xml:space="preserve"> </w:t>
      </w:r>
      <w:proofErr w:type="spellStart"/>
      <w:r>
        <w:rPr>
          <w:rFonts w:ascii="Times New Roman" w:hAnsi="Times New Roman" w:cs="Times New Roman"/>
          <w:color w:val="0070C0"/>
          <w:sz w:val="28"/>
          <w:szCs w:val="28"/>
        </w:rPr>
        <w:t>Endotype</w:t>
      </w:r>
      <w:proofErr w:type="spellEnd"/>
      <w:r>
        <w:rPr>
          <w:rFonts w:ascii="Times New Roman" w:hAnsi="Times New Roman" w:cs="Times New Roman"/>
          <w:color w:val="0070C0"/>
          <w:sz w:val="28"/>
          <w:szCs w:val="28"/>
        </w:rPr>
        <w:t xml:space="preserve"> to </w:t>
      </w:r>
      <w:proofErr w:type="spellStart"/>
      <w:r>
        <w:rPr>
          <w:rFonts w:ascii="Times New Roman" w:hAnsi="Times New Roman" w:cs="Times New Roman"/>
          <w:color w:val="0070C0"/>
          <w:sz w:val="28"/>
          <w:szCs w:val="28"/>
        </w:rPr>
        <w:t>Clinical</w:t>
      </w:r>
      <w:proofErr w:type="spellEnd"/>
      <w:r>
        <w:rPr>
          <w:rFonts w:ascii="Times New Roman" w:hAnsi="Times New Roman" w:cs="Times New Roman"/>
          <w:color w:val="0070C0"/>
          <w:sz w:val="28"/>
          <w:szCs w:val="28"/>
        </w:rPr>
        <w:t xml:space="preserve"> </w:t>
      </w:r>
      <w:proofErr w:type="spellStart"/>
      <w:r>
        <w:rPr>
          <w:rFonts w:ascii="Times New Roman" w:hAnsi="Times New Roman" w:cs="Times New Roman"/>
          <w:color w:val="0070C0"/>
          <w:sz w:val="28"/>
          <w:szCs w:val="28"/>
        </w:rPr>
        <w:t>Response</w:t>
      </w:r>
      <w:proofErr w:type="spellEnd"/>
    </w:p>
    <w:p>
      <w:pPr>
        <w:spacing w:before="100" w:beforeAutospacing="1" w:after="100" w:afterAutospacing="1" w:line="240" w:lineRule="auto"/>
        <w:outlineLvl w:val="1"/>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Vers une médecine personnalisée dans la CSU</w:t>
      </w:r>
    </w:p>
    <w:p>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Ridge et al., </w:t>
      </w:r>
      <w:proofErr w:type="spellStart"/>
      <w:r>
        <w:rPr>
          <w:rFonts w:ascii="Times New Roman" w:eastAsia="Times New Roman" w:hAnsi="Times New Roman" w:cs="Times New Roman"/>
          <w:sz w:val="24"/>
          <w:szCs w:val="24"/>
          <w:lang w:eastAsia="fr-FR"/>
        </w:rPr>
        <w:t>Clinical</w:t>
      </w:r>
      <w:proofErr w:type="spellEnd"/>
      <w:r>
        <w:rPr>
          <w:rFonts w:ascii="Times New Roman" w:eastAsia="Times New Roman" w:hAnsi="Times New Roman" w:cs="Times New Roman"/>
          <w:sz w:val="24"/>
          <w:szCs w:val="24"/>
          <w:lang w:eastAsia="fr-FR"/>
        </w:rPr>
        <w:t xml:space="preserve"> &amp; </w:t>
      </w:r>
      <w:proofErr w:type="spellStart"/>
      <w:r>
        <w:rPr>
          <w:rFonts w:ascii="Times New Roman" w:eastAsia="Times New Roman" w:hAnsi="Times New Roman" w:cs="Times New Roman"/>
          <w:sz w:val="24"/>
          <w:szCs w:val="24"/>
          <w:lang w:eastAsia="fr-FR"/>
        </w:rPr>
        <w:t>Experimental</w:t>
      </w:r>
      <w:proofErr w:type="spellEnd"/>
      <w:r>
        <w:rPr>
          <w:rFonts w:ascii="Times New Roman" w:eastAsia="Times New Roman" w:hAnsi="Times New Roman" w:cs="Times New Roman"/>
          <w:sz w:val="24"/>
          <w:szCs w:val="24"/>
          <w:lang w:eastAsia="fr-FR"/>
        </w:rPr>
        <w:t xml:space="preserve"> </w:t>
      </w:r>
      <w:proofErr w:type="spellStart"/>
      <w:r>
        <w:rPr>
          <w:rFonts w:ascii="Times New Roman" w:eastAsia="Times New Roman" w:hAnsi="Times New Roman" w:cs="Times New Roman"/>
          <w:sz w:val="24"/>
          <w:szCs w:val="24"/>
          <w:lang w:eastAsia="fr-FR"/>
        </w:rPr>
        <w:t>Allergy</w:t>
      </w:r>
      <w:proofErr w:type="spellEnd"/>
      <w:r>
        <w:rPr>
          <w:rFonts w:ascii="Times New Roman" w:eastAsia="Times New Roman" w:hAnsi="Times New Roman" w:cs="Times New Roman"/>
          <w:sz w:val="24"/>
          <w:szCs w:val="24"/>
          <w:lang w:eastAsia="fr-FR"/>
        </w:rPr>
        <w:t>, 2025</w:t>
      </w:r>
    </w:p>
    <w:p>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t>Cette revue analyse les biomarqueurs susceptibles de prédire la réponse aux traitements de l’UCS, notamment à l’</w:t>
      </w:r>
      <w:proofErr w:type="spellStart"/>
      <w:r>
        <w:rPr>
          <w:rFonts w:ascii="Times New Roman" w:eastAsia="Times New Roman" w:hAnsi="Times New Roman" w:cs="Times New Roman"/>
          <w:sz w:val="24"/>
          <w:szCs w:val="24"/>
          <w:lang w:eastAsia="fr-FR"/>
        </w:rPr>
        <w:t>omalizumab</w:t>
      </w:r>
      <w:proofErr w:type="spellEnd"/>
      <w:r>
        <w:rPr>
          <w:rFonts w:ascii="Times New Roman" w:eastAsia="Times New Roman" w:hAnsi="Times New Roman" w:cs="Times New Roman"/>
          <w:sz w:val="24"/>
          <w:szCs w:val="24"/>
          <w:lang w:eastAsia="fr-FR"/>
        </w:rPr>
        <w:t xml:space="preserve"> et à la ciclosporine. L’objectif est d’orienter vers une prise en charge plus personnalisée. Elle décrit les </w:t>
      </w:r>
      <w:proofErr w:type="spellStart"/>
      <w:r>
        <w:rPr>
          <w:rFonts w:ascii="Times New Roman" w:eastAsia="Times New Roman" w:hAnsi="Times New Roman" w:cs="Times New Roman"/>
          <w:sz w:val="24"/>
          <w:szCs w:val="24"/>
          <w:lang w:eastAsia="fr-FR"/>
        </w:rPr>
        <w:t>endotypes</w:t>
      </w:r>
      <w:proofErr w:type="spellEnd"/>
      <w:r>
        <w:rPr>
          <w:rFonts w:ascii="Times New Roman" w:eastAsia="Times New Roman" w:hAnsi="Times New Roman" w:cs="Times New Roman"/>
          <w:sz w:val="24"/>
          <w:szCs w:val="24"/>
          <w:lang w:eastAsia="fr-FR"/>
        </w:rPr>
        <w:t xml:space="preserve"> auto-allergique (IgE) et auto-immun de type </w:t>
      </w:r>
      <w:proofErr w:type="spellStart"/>
      <w:r>
        <w:rPr>
          <w:rFonts w:ascii="Times New Roman" w:eastAsia="Times New Roman" w:hAnsi="Times New Roman" w:cs="Times New Roman"/>
          <w:sz w:val="24"/>
          <w:szCs w:val="24"/>
          <w:lang w:eastAsia="fr-FR"/>
        </w:rPr>
        <w:t>IIb</w:t>
      </w:r>
      <w:proofErr w:type="spellEnd"/>
      <w:r>
        <w:rPr>
          <w:rFonts w:ascii="Times New Roman" w:eastAsia="Times New Roman" w:hAnsi="Times New Roman" w:cs="Times New Roman"/>
          <w:sz w:val="24"/>
          <w:szCs w:val="24"/>
          <w:lang w:eastAsia="fr-FR"/>
        </w:rPr>
        <w:t xml:space="preserve"> </w:t>
      </w:r>
      <w:r>
        <w:t>(</w:t>
      </w:r>
      <w:proofErr w:type="spellStart"/>
      <w:r>
        <w:t>IgG</w:t>
      </w:r>
      <w:proofErr w:type="spellEnd"/>
      <w:r>
        <w:t xml:space="preserve"> anti-</w:t>
      </w:r>
      <w:proofErr w:type="spellStart"/>
      <w:r>
        <w:t>FcεRI</w:t>
      </w:r>
      <w:proofErr w:type="spellEnd"/>
      <w:r>
        <w:t>)</w:t>
      </w:r>
      <w:r>
        <w:rPr>
          <w:rFonts w:ascii="Times New Roman" w:eastAsia="Times New Roman" w:hAnsi="Times New Roman" w:cs="Times New Roman"/>
          <w:sz w:val="24"/>
          <w:szCs w:val="24"/>
          <w:lang w:eastAsia="fr-FR"/>
        </w:rPr>
        <w:t>, tout en soulignant leur chevauchement fréquent. Voici quelques allégations de l’étude :</w:t>
      </w:r>
    </w:p>
    <w:p>
      <w:pPr>
        <w:pStyle w:val="NormalWeb"/>
        <w:numPr>
          <w:ilvl w:val="0"/>
          <w:numId w:val="14"/>
        </w:numPr>
      </w:pPr>
      <w:r>
        <w:t>Faible IgE → moins bonne réponse à l’</w:t>
      </w:r>
      <w:proofErr w:type="spellStart"/>
      <w:r>
        <w:t>omalizumab</w:t>
      </w:r>
      <w:proofErr w:type="spellEnd"/>
      <w:r>
        <w:t>.</w:t>
      </w:r>
    </w:p>
    <w:p>
      <w:pPr>
        <w:pStyle w:val="NormalWeb"/>
        <w:numPr>
          <w:ilvl w:val="0"/>
          <w:numId w:val="14"/>
        </w:numPr>
      </w:pPr>
      <w:proofErr w:type="spellStart"/>
      <w:r>
        <w:t>IgG</w:t>
      </w:r>
      <w:proofErr w:type="spellEnd"/>
      <w:r>
        <w:t xml:space="preserve"> (Type </w:t>
      </w:r>
      <w:proofErr w:type="spellStart"/>
      <w:r>
        <w:t>IIb</w:t>
      </w:r>
      <w:proofErr w:type="spellEnd"/>
      <w:r>
        <w:t>) → meilleure réponse à la ciclosporine.</w:t>
      </w:r>
    </w:p>
    <w:p>
      <w:pPr>
        <w:pStyle w:val="NormalWeb"/>
        <w:numPr>
          <w:ilvl w:val="0"/>
          <w:numId w:val="14"/>
        </w:numPr>
      </w:pPr>
      <w:r>
        <w:t>IgE + IgG → Réponse tardive ou non réponse au traitement</w:t>
      </w:r>
    </w:p>
    <w:p>
      <w:pPr>
        <w:pStyle w:val="NormalWeb"/>
        <w:numPr>
          <w:ilvl w:val="0"/>
          <w:numId w:val="14"/>
        </w:numPr>
      </w:pPr>
      <w:r>
        <w:t>Taux élevé de basophile → bonne réponse à l’</w:t>
      </w:r>
      <w:proofErr w:type="spellStart"/>
      <w:r>
        <w:t>omalizumab</w:t>
      </w:r>
      <w:proofErr w:type="spellEnd"/>
      <w:r>
        <w:t xml:space="preserve"> (</w:t>
      </w:r>
      <w:proofErr w:type="spellStart"/>
      <w:r>
        <w:t>basopénie</w:t>
      </w:r>
      <w:proofErr w:type="spellEnd"/>
      <w:r>
        <w:t xml:space="preserve"> → mauvaise réponse)</w:t>
      </w:r>
    </w:p>
    <w:p>
      <w:pPr>
        <w:pStyle w:val="NormalWeb"/>
        <w:numPr>
          <w:ilvl w:val="0"/>
          <w:numId w:val="14"/>
        </w:numPr>
      </w:pPr>
      <w:proofErr w:type="spellStart"/>
      <w:r>
        <w:t>Eosinopénie</w:t>
      </w:r>
      <w:proofErr w:type="spellEnd"/>
      <w:r>
        <w:t xml:space="preserve"> → besoin d’une augmentation de dose</w:t>
      </w:r>
    </w:p>
    <w:p>
      <w:pPr>
        <w:pStyle w:val="NormalWeb"/>
        <w:numPr>
          <w:ilvl w:val="0"/>
          <w:numId w:val="14"/>
        </w:numPr>
      </w:pPr>
      <w:r>
        <w:t>Pas de lien entre taux de d-dimère et la réponse au traitement dans cet article</w:t>
      </w:r>
    </w:p>
    <w:p>
      <w:pPr>
        <w:pStyle w:val="NormalWeb"/>
      </w:pPr>
      <w:r>
        <w:t xml:space="preserve">→ Conclusion : ce n’est pas si simple </w:t>
      </w:r>
    </w:p>
    <w:p>
      <w:pPr>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6199464" cy="4787991"/>
            <wp:effectExtent l="0" t="0" r="0" b="0"/>
            <wp:docPr id="1493606894" name="Image 3"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606894" name="Image 3" descr="Une image contenant texte, capture d’écran, logiciel, Page web&#10;&#10;Le contenu généré par l’IA peut être incorrect."/>
                    <pic:cNvPicPr/>
                  </pic:nvPicPr>
                  <pic:blipFill rotWithShape="1">
                    <a:blip r:embed="rId8">
                      <a:extLst>
                        <a:ext uri="{28A0092B-C50C-407E-A947-70E740481C1C}">
                          <a14:useLocalDpi xmlns:a14="http://schemas.microsoft.com/office/drawing/2010/main" val="0"/>
                        </a:ext>
                      </a:extLst>
                    </a:blip>
                    <a:srcRect l="13107" t="13919" r="10150" b="22424"/>
                    <a:stretch>
                      <a:fillRect/>
                    </a:stretch>
                  </pic:blipFill>
                  <pic:spPr bwMode="auto">
                    <a:xfrm>
                      <a:off x="0" y="0"/>
                      <a:ext cx="6222770" cy="4805991"/>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Times New Roman" w:hAnsi="Times New Roman" w:cs="Times New Roman"/>
          <w:sz w:val="24"/>
          <w:szCs w:val="24"/>
        </w:rPr>
      </w:pPr>
    </w:p>
    <w:p>
      <w:pPr>
        <w:rPr>
          <w:rFonts w:ascii="Times New Roman" w:hAnsi="Times New Roman" w:cs="Times New Roman"/>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sectPr>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useo Sans">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070FB"/>
    <w:multiLevelType w:val="multilevel"/>
    <w:tmpl w:val="266C4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4E7B70"/>
    <w:multiLevelType w:val="multilevel"/>
    <w:tmpl w:val="9E6AA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FE799B"/>
    <w:multiLevelType w:val="multilevel"/>
    <w:tmpl w:val="1EDA0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C006CC"/>
    <w:multiLevelType w:val="multilevel"/>
    <w:tmpl w:val="D694A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6E30C5"/>
    <w:multiLevelType w:val="multilevel"/>
    <w:tmpl w:val="51F23E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3C2F77"/>
    <w:multiLevelType w:val="multilevel"/>
    <w:tmpl w:val="3AD6A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5F2504"/>
    <w:multiLevelType w:val="multilevel"/>
    <w:tmpl w:val="82F8D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C45A90"/>
    <w:multiLevelType w:val="multilevel"/>
    <w:tmpl w:val="16B8F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F53BCD"/>
    <w:multiLevelType w:val="multilevel"/>
    <w:tmpl w:val="CEF8B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D22CA0"/>
    <w:multiLevelType w:val="multilevel"/>
    <w:tmpl w:val="85905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86777C"/>
    <w:multiLevelType w:val="multilevel"/>
    <w:tmpl w:val="9200A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FD7406"/>
    <w:multiLevelType w:val="multilevel"/>
    <w:tmpl w:val="D53AB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00188A"/>
    <w:multiLevelType w:val="multilevel"/>
    <w:tmpl w:val="43405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3270B5"/>
    <w:multiLevelType w:val="multilevel"/>
    <w:tmpl w:val="35764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3"/>
  </w:num>
  <w:num w:numId="3">
    <w:abstractNumId w:val="2"/>
  </w:num>
  <w:num w:numId="4">
    <w:abstractNumId w:val="9"/>
  </w:num>
  <w:num w:numId="5">
    <w:abstractNumId w:val="8"/>
  </w:num>
  <w:num w:numId="6">
    <w:abstractNumId w:val="11"/>
  </w:num>
  <w:num w:numId="7">
    <w:abstractNumId w:val="7"/>
  </w:num>
  <w:num w:numId="8">
    <w:abstractNumId w:val="5"/>
  </w:num>
  <w:num w:numId="9">
    <w:abstractNumId w:val="12"/>
  </w:num>
  <w:num w:numId="10">
    <w:abstractNumId w:val="13"/>
  </w:num>
  <w:num w:numId="11">
    <w:abstractNumId w:val="1"/>
  </w:num>
  <w:num w:numId="12">
    <w:abstractNumId w:val="0"/>
  </w:num>
  <w:num w:numId="13">
    <w:abstractNumId w:val="4"/>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033E7C-8822-4C74-B319-AAC7AAC1B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link w:val="Titre2C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Pr>
      <w:rFonts w:ascii="Times New Roman" w:eastAsia="Times New Roman" w:hAnsi="Times New Roman" w:cs="Times New Roman"/>
      <w:b/>
      <w:bCs/>
      <w:sz w:val="36"/>
      <w:szCs w:val="36"/>
      <w:lang w:eastAsia="fr-FR"/>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Pr>
      <w:b/>
      <w:bCs/>
    </w:rPr>
  </w:style>
  <w:style w:type="paragraph" w:customStyle="1" w:styleId="Default">
    <w:name w:val="Default"/>
    <w:pPr>
      <w:autoSpaceDE w:val="0"/>
      <w:autoSpaceDN w:val="0"/>
      <w:adjustRightInd w:val="0"/>
      <w:spacing w:after="0" w:line="240" w:lineRule="auto"/>
    </w:pPr>
    <w:rPr>
      <w:rFonts w:ascii="Museo Sans" w:hAnsi="Museo Sans" w:cs="Museo San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tmp"/><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289</TotalTime>
  <Pages>6</Pages>
  <Words>982</Words>
  <Characters>5407</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CHRU de Besançon</Company>
  <LinksUpToDate>false</LinksUpToDate>
  <CharactersWithSpaces>6377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Florence LAKKIS CASTELAIN</dc:creator>
  <cp:keywords/>
  <dc:description/>
  <cp:lastModifiedBy>Florence LAKKIS CASTELAIN</cp:lastModifiedBy>
  <cp:revision>13</cp:revision>
  <dcterms:created xsi:type="dcterms:W3CDTF">2026-01-13T10:16:00Z</dcterms:created>
  <dcterms:modified xsi:type="dcterms:W3CDTF">2026-01-15T11:37:00Z</dcterms:modified>
</cp:coreProperties>
</file>