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3CD7" w14:textId="47E2FE41" w:rsidR="001A7EA0" w:rsidRPr="001844D4" w:rsidRDefault="00107E38" w:rsidP="001844D4">
      <w:pPr>
        <w:jc w:val="center"/>
        <w:rPr>
          <w:rFonts w:cs="Calibri"/>
          <w:sz w:val="32"/>
          <w:szCs w:val="32"/>
        </w:rPr>
      </w:pPr>
      <w:proofErr w:type="spellStart"/>
      <w:r w:rsidRPr="001844D4">
        <w:rPr>
          <w:sz w:val="32"/>
          <w:szCs w:val="32"/>
        </w:rPr>
        <w:t>Bibliogus</w:t>
      </w:r>
      <w:proofErr w:type="spellEnd"/>
      <w:r w:rsidRPr="001844D4">
        <w:rPr>
          <w:sz w:val="32"/>
          <w:szCs w:val="32"/>
        </w:rPr>
        <w:t xml:space="preserve"> - J</w:t>
      </w:r>
      <w:r w:rsidRPr="001844D4">
        <w:rPr>
          <w:rFonts w:cs="Calibri"/>
          <w:sz w:val="32"/>
          <w:szCs w:val="32"/>
        </w:rPr>
        <w:t xml:space="preserve">anvier </w:t>
      </w:r>
      <w:r w:rsidR="009A3B29" w:rsidRPr="001844D4">
        <w:rPr>
          <w:rFonts w:cs="Calibri"/>
          <w:sz w:val="32"/>
          <w:szCs w:val="32"/>
        </w:rPr>
        <w:t xml:space="preserve">à </w:t>
      </w:r>
      <w:r w:rsidRPr="001844D4">
        <w:rPr>
          <w:rFonts w:cs="Calibri"/>
          <w:sz w:val="32"/>
          <w:szCs w:val="32"/>
        </w:rPr>
        <w:t>avril 2026</w:t>
      </w:r>
    </w:p>
    <w:p w14:paraId="01E9D5C8" w14:textId="77777777" w:rsidR="00B10A1C" w:rsidRPr="001844D4" w:rsidRDefault="00B10A1C" w:rsidP="001844D4">
      <w:pPr>
        <w:jc w:val="both"/>
        <w:rPr>
          <w:rFonts w:cs="Calibri"/>
        </w:rPr>
      </w:pPr>
    </w:p>
    <w:p w14:paraId="2461248E" w14:textId="77777777" w:rsidR="00B10A1C" w:rsidRPr="001844D4" w:rsidRDefault="00B10A1C" w:rsidP="001844D4">
      <w:pPr>
        <w:spacing w:before="100" w:beforeAutospacing="1" w:after="100" w:afterAutospacing="1"/>
        <w:jc w:val="both"/>
        <w:outlineLvl w:val="1"/>
        <w:rPr>
          <w:rFonts w:eastAsia="Times New Roman" w:cs="Times New Roman"/>
          <w:b/>
          <w:bCs/>
          <w:kern w:val="0"/>
          <w:lang w:eastAsia="fr-FR"/>
          <w14:ligatures w14:val="none"/>
        </w:rPr>
      </w:pPr>
      <w:r w:rsidRPr="001844D4">
        <w:rPr>
          <w:rFonts w:eastAsia="Times New Roman" w:cs="Times New Roman"/>
          <w:b/>
          <w:bCs/>
          <w:kern w:val="0"/>
          <w:lang w:eastAsia="fr-FR"/>
          <w14:ligatures w14:val="none"/>
        </w:rPr>
        <w:t xml:space="preserve">The International Guideline for the </w:t>
      </w:r>
      <w:proofErr w:type="spellStart"/>
      <w:r w:rsidRPr="001844D4">
        <w:rPr>
          <w:rFonts w:eastAsia="Times New Roman" w:cs="Times New Roman"/>
          <w:b/>
          <w:bCs/>
          <w:kern w:val="0"/>
          <w:lang w:eastAsia="fr-FR"/>
          <w14:ligatures w14:val="none"/>
        </w:rPr>
        <w:t>Definition</w:t>
      </w:r>
      <w:proofErr w:type="spellEnd"/>
      <w:r w:rsidRPr="001844D4">
        <w:rPr>
          <w:rFonts w:eastAsia="Times New Roman" w:cs="Times New Roman"/>
          <w:b/>
          <w:bCs/>
          <w:kern w:val="0"/>
          <w:lang w:eastAsia="fr-FR"/>
          <w14:ligatures w14:val="none"/>
        </w:rPr>
        <w:t xml:space="preserve">, Classification, </w:t>
      </w:r>
      <w:proofErr w:type="spellStart"/>
      <w:r w:rsidRPr="001844D4">
        <w:rPr>
          <w:rFonts w:eastAsia="Times New Roman" w:cs="Times New Roman"/>
          <w:b/>
          <w:bCs/>
          <w:kern w:val="0"/>
          <w:lang w:eastAsia="fr-FR"/>
          <w14:ligatures w14:val="none"/>
        </w:rPr>
        <w:t>Diagnosis</w:t>
      </w:r>
      <w:proofErr w:type="spellEnd"/>
      <w:r w:rsidRPr="001844D4">
        <w:rPr>
          <w:rFonts w:eastAsia="Times New Roman" w:cs="Times New Roman"/>
          <w:b/>
          <w:bCs/>
          <w:kern w:val="0"/>
          <w:lang w:eastAsia="fr-FR"/>
          <w14:ligatures w14:val="none"/>
        </w:rPr>
        <w:t xml:space="preserve"> and Management of </w:t>
      </w:r>
      <w:proofErr w:type="spellStart"/>
      <w:r w:rsidRPr="001844D4">
        <w:rPr>
          <w:rFonts w:eastAsia="Times New Roman" w:cs="Times New Roman"/>
          <w:b/>
          <w:bCs/>
          <w:kern w:val="0"/>
          <w:lang w:eastAsia="fr-FR"/>
          <w14:ligatures w14:val="none"/>
        </w:rPr>
        <w:t>Urticaria</w:t>
      </w:r>
      <w:proofErr w:type="spellEnd"/>
    </w:p>
    <w:p w14:paraId="5E093422" w14:textId="5263D301" w:rsidR="001844D4" w:rsidRPr="001844D4" w:rsidRDefault="001844D4" w:rsidP="001844D4">
      <w:pPr>
        <w:jc w:val="both"/>
      </w:pPr>
      <w:proofErr w:type="spellStart"/>
      <w:r w:rsidRPr="001844D4">
        <w:t>Allergy</w:t>
      </w:r>
      <w:proofErr w:type="spellEnd"/>
      <w:r w:rsidRPr="001844D4">
        <w:t xml:space="preserve">. 2026 </w:t>
      </w:r>
    </w:p>
    <w:p w14:paraId="258B4A19" w14:textId="538CDD0E" w:rsidR="00B10A1C" w:rsidRPr="001844D4" w:rsidRDefault="00B10A1C" w:rsidP="001844D4">
      <w:pPr>
        <w:jc w:val="both"/>
        <w:rPr>
          <w:rFonts w:eastAsia="Times New Roman" w:cs="Times New Roman"/>
          <w:color w:val="000000" w:themeColor="text1"/>
          <w:kern w:val="0"/>
          <w:lang w:eastAsia="fr-FR"/>
          <w14:ligatures w14:val="none"/>
        </w:rPr>
      </w:pPr>
      <w:r w:rsidRPr="001844D4">
        <w:rPr>
          <w:rFonts w:eastAsia="Times New Roman" w:cs="Times New Roman"/>
          <w:color w:val="000000" w:themeColor="text1"/>
          <w:kern w:val="0"/>
          <w:lang w:eastAsia="fr-FR"/>
          <w14:ligatures w14:val="none"/>
        </w:rPr>
        <w:t>DOI: 10.1111/all.70210</w:t>
      </w:r>
    </w:p>
    <w:p w14:paraId="2C3DA892" w14:textId="77777777" w:rsidR="00B10A1C" w:rsidRPr="001844D4" w:rsidRDefault="00B10A1C" w:rsidP="001844D4">
      <w:pPr>
        <w:jc w:val="both"/>
      </w:pPr>
    </w:p>
    <w:p w14:paraId="05394725" w14:textId="0B9F2B5D" w:rsidR="00B10A1C" w:rsidRPr="001844D4" w:rsidRDefault="00FD0997" w:rsidP="001844D4">
      <w:pPr>
        <w:jc w:val="both"/>
      </w:pPr>
      <w:r w:rsidRPr="001844D4">
        <w:t>La principale nouveauté</w:t>
      </w:r>
      <w:r w:rsidR="001844D4" w:rsidRPr="001844D4">
        <w:t xml:space="preserve"> d</w:t>
      </w:r>
      <w:r w:rsidR="00C161EE">
        <w:t xml:space="preserve">es </w:t>
      </w:r>
      <w:r w:rsidR="001844D4" w:rsidRPr="001844D4">
        <w:t>nouvelles recommandations</w:t>
      </w:r>
      <w:r w:rsidRPr="001844D4">
        <w:t xml:space="preserve"> c’est l’algorithme thérapeutique qui est relativement large et qui inclus des thérapeutiques qui ne sont pas encore validées/</w:t>
      </w:r>
      <w:r w:rsidR="003D5430">
        <w:t>r</w:t>
      </w:r>
      <w:r w:rsidRPr="001844D4">
        <w:t>emboursées en Europe.</w:t>
      </w:r>
    </w:p>
    <w:p w14:paraId="0134BBE3" w14:textId="77777777" w:rsidR="00B10A1C" w:rsidRPr="001844D4" w:rsidRDefault="00B10A1C" w:rsidP="001844D4">
      <w:pPr>
        <w:jc w:val="both"/>
      </w:pPr>
    </w:p>
    <w:p w14:paraId="4CCF8AFE" w14:textId="41BB8940" w:rsidR="00B10A1C" w:rsidRPr="001844D4" w:rsidRDefault="00FD0997" w:rsidP="001844D4">
      <w:pPr>
        <w:jc w:val="both"/>
      </w:pPr>
      <w:r w:rsidRPr="001844D4">
        <w:rPr>
          <w:noProof/>
        </w:rPr>
        <w:drawing>
          <wp:inline distT="0" distB="0" distL="0" distR="0" wp14:anchorId="2F526AFC" wp14:editId="528D4260">
            <wp:extent cx="5756910" cy="5219700"/>
            <wp:effectExtent l="0" t="0" r="0" b="0"/>
            <wp:docPr id="17736422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2216" name="Image 1773642216"/>
                    <pic:cNvPicPr/>
                  </pic:nvPicPr>
                  <pic:blipFill>
                    <a:blip r:embed="rId5">
                      <a:extLst>
                        <a:ext uri="{28A0092B-C50C-407E-A947-70E740481C1C}">
                          <a14:useLocalDpi xmlns:a14="http://schemas.microsoft.com/office/drawing/2010/main" val="0"/>
                        </a:ext>
                      </a:extLst>
                    </a:blip>
                    <a:stretch>
                      <a:fillRect/>
                    </a:stretch>
                  </pic:blipFill>
                  <pic:spPr>
                    <a:xfrm>
                      <a:off x="0" y="0"/>
                      <a:ext cx="5756910" cy="5219700"/>
                    </a:xfrm>
                    <a:prstGeom prst="rect">
                      <a:avLst/>
                    </a:prstGeom>
                  </pic:spPr>
                </pic:pic>
              </a:graphicData>
            </a:graphic>
          </wp:inline>
        </w:drawing>
      </w:r>
    </w:p>
    <w:p w14:paraId="0A80366F" w14:textId="77777777" w:rsidR="00B10A1C" w:rsidRPr="001844D4" w:rsidRDefault="00B10A1C" w:rsidP="001844D4">
      <w:pPr>
        <w:jc w:val="both"/>
      </w:pPr>
    </w:p>
    <w:p w14:paraId="7F4D58E7" w14:textId="10384CD2" w:rsidR="00B10A1C" w:rsidRPr="001844D4" w:rsidRDefault="00FD0997" w:rsidP="001844D4">
      <w:pPr>
        <w:jc w:val="both"/>
      </w:pPr>
      <w:r w:rsidRPr="001844D4">
        <w:rPr>
          <w:noProof/>
        </w:rPr>
        <w:lastRenderedPageBreak/>
        <w:drawing>
          <wp:inline distT="0" distB="0" distL="0" distR="0" wp14:anchorId="5AE7D600" wp14:editId="5807C2FA">
            <wp:extent cx="5756910" cy="3397250"/>
            <wp:effectExtent l="0" t="0" r="0" b="6350"/>
            <wp:docPr id="13687365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6593" name="Image 13687365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3397250"/>
                    </a:xfrm>
                    <a:prstGeom prst="rect">
                      <a:avLst/>
                    </a:prstGeom>
                  </pic:spPr>
                </pic:pic>
              </a:graphicData>
            </a:graphic>
          </wp:inline>
        </w:drawing>
      </w:r>
    </w:p>
    <w:p w14:paraId="3F425A83" w14:textId="77777777" w:rsidR="00B10A1C" w:rsidRPr="001844D4" w:rsidRDefault="00B10A1C" w:rsidP="001844D4">
      <w:pPr>
        <w:jc w:val="both"/>
      </w:pPr>
    </w:p>
    <w:p w14:paraId="1790F14C" w14:textId="77777777" w:rsidR="00B10A1C" w:rsidRPr="001844D4" w:rsidRDefault="00B10A1C" w:rsidP="001844D4">
      <w:pPr>
        <w:jc w:val="both"/>
      </w:pPr>
    </w:p>
    <w:p w14:paraId="0FD64E6C" w14:textId="77777777" w:rsidR="00B10A1C" w:rsidRPr="001844D4" w:rsidRDefault="00B10A1C" w:rsidP="001844D4">
      <w:pPr>
        <w:jc w:val="both"/>
      </w:pPr>
      <w:proofErr w:type="spellStart"/>
      <w:r w:rsidRPr="001844D4">
        <w:rPr>
          <w:b/>
          <w:bCs/>
        </w:rPr>
        <w:t>Dupilumab</w:t>
      </w:r>
      <w:proofErr w:type="spellEnd"/>
      <w:r w:rsidRPr="001844D4">
        <w:rPr>
          <w:b/>
          <w:bCs/>
        </w:rPr>
        <w:t xml:space="preserve"> in Patients </w:t>
      </w:r>
      <w:proofErr w:type="spellStart"/>
      <w:r w:rsidRPr="001844D4">
        <w:rPr>
          <w:b/>
          <w:bCs/>
        </w:rPr>
        <w:t>With</w:t>
      </w:r>
      <w:proofErr w:type="spellEnd"/>
      <w:r w:rsidRPr="001844D4">
        <w:rPr>
          <w:b/>
          <w:bCs/>
        </w:rPr>
        <w:t xml:space="preserve"> </w:t>
      </w:r>
      <w:proofErr w:type="spellStart"/>
      <w:r w:rsidRPr="001844D4">
        <w:rPr>
          <w:b/>
          <w:bCs/>
        </w:rPr>
        <w:t>Chronic</w:t>
      </w:r>
      <w:proofErr w:type="spellEnd"/>
      <w:r w:rsidRPr="001844D4">
        <w:rPr>
          <w:b/>
          <w:bCs/>
        </w:rPr>
        <w:t xml:space="preserve"> </w:t>
      </w:r>
      <w:proofErr w:type="spellStart"/>
      <w:r w:rsidRPr="001844D4">
        <w:rPr>
          <w:b/>
          <w:bCs/>
        </w:rPr>
        <w:t>Spontaneous</w:t>
      </w:r>
      <w:proofErr w:type="spellEnd"/>
      <w:r w:rsidRPr="001844D4">
        <w:rPr>
          <w:b/>
          <w:bCs/>
        </w:rPr>
        <w:t xml:space="preserve"> </w:t>
      </w:r>
      <w:proofErr w:type="spellStart"/>
      <w:r w:rsidRPr="001844D4">
        <w:rPr>
          <w:b/>
          <w:bCs/>
        </w:rPr>
        <w:t>Urticaria</w:t>
      </w:r>
      <w:proofErr w:type="spellEnd"/>
      <w:r w:rsidRPr="001844D4">
        <w:rPr>
          <w:b/>
          <w:bCs/>
        </w:rPr>
        <w:t xml:space="preserve">: Phase 3 LIBERTY-CSU CUPID </w:t>
      </w:r>
      <w:proofErr w:type="spellStart"/>
      <w:r w:rsidRPr="001844D4">
        <w:rPr>
          <w:b/>
          <w:bCs/>
        </w:rPr>
        <w:t>Randomized</w:t>
      </w:r>
      <w:proofErr w:type="spellEnd"/>
      <w:r w:rsidRPr="001844D4">
        <w:rPr>
          <w:b/>
          <w:bCs/>
        </w:rPr>
        <w:t xml:space="preserve"> </w:t>
      </w:r>
      <w:proofErr w:type="spellStart"/>
      <w:r w:rsidRPr="001844D4">
        <w:rPr>
          <w:b/>
          <w:bCs/>
        </w:rPr>
        <w:t>Clinical</w:t>
      </w:r>
      <w:proofErr w:type="spellEnd"/>
      <w:r w:rsidRPr="001844D4">
        <w:rPr>
          <w:b/>
          <w:bCs/>
        </w:rPr>
        <w:t xml:space="preserve"> Trials</w:t>
      </w:r>
      <w:r w:rsidRPr="001844D4">
        <w:t>.</w:t>
      </w:r>
    </w:p>
    <w:p w14:paraId="0574DF52" w14:textId="77777777" w:rsidR="00C226B1" w:rsidRDefault="00C226B1" w:rsidP="001844D4">
      <w:pPr>
        <w:jc w:val="both"/>
      </w:pPr>
    </w:p>
    <w:p w14:paraId="52A90F6F" w14:textId="0E3E41F4" w:rsidR="00B10A1C" w:rsidRPr="001844D4" w:rsidRDefault="00B10A1C" w:rsidP="001844D4">
      <w:pPr>
        <w:jc w:val="both"/>
      </w:pPr>
      <w:proofErr w:type="spellStart"/>
      <w:r w:rsidRPr="001844D4">
        <w:t>Casale</w:t>
      </w:r>
      <w:proofErr w:type="spellEnd"/>
      <w:r w:rsidRPr="001844D4">
        <w:t xml:space="preserve"> TB, Saini SS, Ben-</w:t>
      </w:r>
      <w:proofErr w:type="spellStart"/>
      <w:r w:rsidRPr="001844D4">
        <w:t>Shoshan</w:t>
      </w:r>
      <w:proofErr w:type="spellEnd"/>
      <w:r w:rsidRPr="001844D4">
        <w:t xml:space="preserve"> M, </w:t>
      </w:r>
      <w:proofErr w:type="spellStart"/>
      <w:r w:rsidRPr="001844D4">
        <w:t>Giménez-Arnau</w:t>
      </w:r>
      <w:proofErr w:type="spellEnd"/>
      <w:r w:rsidRPr="001844D4">
        <w:t xml:space="preserve"> AM, Bernstein JA, </w:t>
      </w:r>
      <w:proofErr w:type="spellStart"/>
      <w:r w:rsidRPr="001844D4">
        <w:t>Hayama</w:t>
      </w:r>
      <w:proofErr w:type="spellEnd"/>
      <w:r w:rsidRPr="001844D4">
        <w:t xml:space="preserve"> K, Amin N, Robinson LB, Bauer D, Dakin P, Laws E, Radin A, </w:t>
      </w:r>
      <w:proofErr w:type="spellStart"/>
      <w:r w:rsidRPr="001844D4">
        <w:t>Makhija</w:t>
      </w:r>
      <w:proofErr w:type="spellEnd"/>
      <w:r w:rsidRPr="001844D4">
        <w:t xml:space="preserve"> M.</w:t>
      </w:r>
    </w:p>
    <w:p w14:paraId="54CD24B3" w14:textId="77777777" w:rsidR="009A3B29" w:rsidRPr="001844D4" w:rsidRDefault="009A3B29" w:rsidP="001844D4">
      <w:pPr>
        <w:jc w:val="both"/>
      </w:pPr>
      <w:r w:rsidRPr="001844D4">
        <w:t xml:space="preserve">JAMA </w:t>
      </w:r>
      <w:proofErr w:type="spellStart"/>
      <w:r w:rsidRPr="001844D4">
        <w:t>Dermatol</w:t>
      </w:r>
      <w:proofErr w:type="spellEnd"/>
      <w:r w:rsidRPr="001844D4">
        <w:t xml:space="preserve">. 2026 </w:t>
      </w:r>
    </w:p>
    <w:p w14:paraId="597BA013" w14:textId="2A33DA55" w:rsidR="00B10A1C" w:rsidRPr="001844D4" w:rsidRDefault="00B10A1C" w:rsidP="001844D4">
      <w:pPr>
        <w:jc w:val="both"/>
      </w:pPr>
      <w:proofErr w:type="spellStart"/>
      <w:r w:rsidRPr="001844D4">
        <w:t>doi</w:t>
      </w:r>
      <w:proofErr w:type="spellEnd"/>
      <w:r w:rsidRPr="001844D4">
        <w:t xml:space="preserve">: 10.1001/jamadermatol.2025.6023. </w:t>
      </w:r>
    </w:p>
    <w:p w14:paraId="1A66E920" w14:textId="77777777" w:rsidR="00B10A1C" w:rsidRPr="001844D4" w:rsidRDefault="00B10A1C" w:rsidP="001844D4">
      <w:pPr>
        <w:jc w:val="both"/>
      </w:pPr>
    </w:p>
    <w:p w14:paraId="12D2BA4C" w14:textId="7EECB33D"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Une première étude (CUPID-A) avait montré son efficacité pour réduire le prurit et la sévérité de l’urticaire chez des patients naïf d’</w:t>
      </w:r>
      <w:proofErr w:type="spellStart"/>
      <w:r w:rsidRPr="001844D4">
        <w:rPr>
          <w:rFonts w:eastAsia="Times New Roman" w:cs="Times New Roman"/>
          <w:color w:val="101213"/>
          <w:kern w:val="0"/>
          <w:lang w:eastAsia="fr-FR"/>
          <w14:ligatures w14:val="none"/>
        </w:rPr>
        <w:t>omalizumab</w:t>
      </w:r>
      <w:proofErr w:type="spellEnd"/>
      <w:r w:rsidRPr="001844D4">
        <w:rPr>
          <w:rFonts w:eastAsia="Times New Roman" w:cs="Times New Roman"/>
          <w:color w:val="101213"/>
          <w:kern w:val="0"/>
          <w:lang w:eastAsia="fr-FR"/>
          <w14:ligatures w14:val="none"/>
        </w:rPr>
        <w:t xml:space="preserve">. </w:t>
      </w:r>
    </w:p>
    <w:p w14:paraId="39419E5F" w14:textId="77777777"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Objectif :</w:t>
      </w:r>
      <w:r w:rsidRPr="001844D4">
        <w:rPr>
          <w:rFonts w:eastAsia="Times New Roman" w:cs="Times New Roman"/>
          <w:color w:val="101213"/>
          <w:kern w:val="0"/>
          <w:lang w:eastAsia="fr-FR"/>
          <w14:ligatures w14:val="none"/>
        </w:rPr>
        <w:t xml:space="preserve"> Évaluer l’efficacité et la sécurité du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par rapport à un placebo chez des patients atteints d’UCS non contrôlée par les antihistaminiques et n’ayant jamais reçu de traitement anti-IgE.</w:t>
      </w:r>
    </w:p>
    <w:p w14:paraId="25657529" w14:textId="28A322A6"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Méthode :</w:t>
      </w:r>
      <w:r w:rsidRPr="001844D4">
        <w:rPr>
          <w:rFonts w:eastAsia="Times New Roman" w:cs="Times New Roman"/>
          <w:color w:val="101213"/>
          <w:kern w:val="0"/>
          <w:lang w:eastAsia="fr-FR"/>
          <w14:ligatures w14:val="none"/>
        </w:rPr>
        <w:t xml:space="preserve"> Étude de phase 3 (CUPID-C, 2022-2024), randomisée, en double aveugle et contrôlée par placebo, sur 24 semaines, identique à CUPID-A (2019-2021). Menée dans 10 pays avec 151 participants âgés de 6 à 80 ans, dont l’UCS n’était pas contrôlée par les antihistaminiques. </w:t>
      </w:r>
    </w:p>
    <w:p w14:paraId="4E0FEC09" w14:textId="66571814"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Critères principaux :</w:t>
      </w:r>
      <w:r w:rsidRPr="001844D4">
        <w:rPr>
          <w:rFonts w:eastAsia="Times New Roman" w:cs="Times New Roman"/>
          <w:color w:val="101213"/>
          <w:kern w:val="0"/>
          <w:lang w:eastAsia="fr-FR"/>
          <w14:ligatures w14:val="none"/>
        </w:rPr>
        <w:t> Évolution à 24 semaines des scores de sévérité des démangeaisons (ISS7) et d’activité de l’urticaire (UAS7) sur 7 jours.</w:t>
      </w:r>
    </w:p>
    <w:p w14:paraId="53DEE5E4" w14:textId="77777777"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Résultats :</w:t>
      </w:r>
    </w:p>
    <w:p w14:paraId="292646C1" w14:textId="069941DC" w:rsidR="00B10A1C" w:rsidRPr="001844D4" w:rsidRDefault="00B10A1C" w:rsidP="001844D4">
      <w:pPr>
        <w:numPr>
          <w:ilvl w:val="0"/>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lastRenderedPageBreak/>
        <w:t>Population :</w:t>
      </w:r>
      <w:r w:rsidRPr="001844D4">
        <w:rPr>
          <w:rFonts w:eastAsia="Times New Roman" w:cs="Times New Roman"/>
          <w:color w:val="101213"/>
          <w:kern w:val="0"/>
          <w:lang w:eastAsia="fr-FR"/>
          <w14:ligatures w14:val="none"/>
        </w:rPr>
        <w:t xml:space="preserve"> 151 participants (âge moyen : 44,7 ans ; 70,2 % de femmes). 51 % prenaient des antihistaminiques à </w:t>
      </w:r>
      <w:r w:rsidR="00C161EE">
        <w:rPr>
          <w:rFonts w:eastAsia="Times New Roman" w:cs="Times New Roman"/>
          <w:color w:val="101213"/>
          <w:kern w:val="0"/>
          <w:lang w:eastAsia="fr-FR"/>
          <w14:ligatures w14:val="none"/>
        </w:rPr>
        <w:t>une dose supérieure de la dose notice</w:t>
      </w:r>
      <w:r w:rsidRPr="001844D4">
        <w:rPr>
          <w:rFonts w:eastAsia="Times New Roman" w:cs="Times New Roman"/>
          <w:color w:val="101213"/>
          <w:kern w:val="0"/>
          <w:lang w:eastAsia="fr-FR"/>
          <w14:ligatures w14:val="none"/>
        </w:rPr>
        <w:t>, et 59,6 % avaient un score UAS7 initial ≥ 28.</w:t>
      </w:r>
    </w:p>
    <w:p w14:paraId="3C75154F" w14:textId="77777777" w:rsidR="00B10A1C" w:rsidRPr="001844D4" w:rsidRDefault="00B10A1C" w:rsidP="001844D4">
      <w:pPr>
        <w:numPr>
          <w:ilvl w:val="0"/>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Efficacité :</w:t>
      </w:r>
      <w:r w:rsidRPr="001844D4">
        <w:rPr>
          <w:rFonts w:eastAsia="Times New Roman" w:cs="Times New Roman"/>
          <w:color w:val="101213"/>
          <w:kern w:val="0"/>
          <w:lang w:eastAsia="fr-FR"/>
          <w14:ligatures w14:val="none"/>
        </w:rPr>
        <w:t xml:space="preserve"> À 24 semaines, le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a significativement amélioré les scores ISS7 et UAS7 par rapport au placebo.</w:t>
      </w:r>
    </w:p>
    <w:p w14:paraId="72BF3E34" w14:textId="77777777" w:rsidR="00B10A1C" w:rsidRPr="001844D4" w:rsidRDefault="00B10A1C" w:rsidP="001844D4">
      <w:pPr>
        <w:numPr>
          <w:ilvl w:val="1"/>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ISS7 : réduction moyenne de -8,64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vs -6,10 (placebo) [différence : -2,54 points ; IC 95 % : -4,65 </w:t>
      </w:r>
      <w:proofErr w:type="spellStart"/>
      <w:r w:rsidRPr="001844D4">
        <w:rPr>
          <w:rFonts w:eastAsia="Times New Roman" w:cs="Times New Roman"/>
          <w:color w:val="101213"/>
          <w:kern w:val="0"/>
          <w:lang w:eastAsia="fr-FR"/>
          <w14:ligatures w14:val="none"/>
        </w:rPr>
        <w:t>à</w:t>
      </w:r>
      <w:proofErr w:type="spellEnd"/>
      <w:r w:rsidRPr="001844D4">
        <w:rPr>
          <w:rFonts w:eastAsia="Times New Roman" w:cs="Times New Roman"/>
          <w:color w:val="101213"/>
          <w:kern w:val="0"/>
          <w:lang w:eastAsia="fr-FR"/>
          <w14:ligatures w14:val="none"/>
        </w:rPr>
        <w:t xml:space="preserve"> -0,43 ; p = 0,02].</w:t>
      </w:r>
    </w:p>
    <w:p w14:paraId="2DC24E2C" w14:textId="77777777" w:rsidR="00B10A1C" w:rsidRPr="001844D4" w:rsidRDefault="00B10A1C" w:rsidP="001844D4">
      <w:pPr>
        <w:numPr>
          <w:ilvl w:val="1"/>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 xml:space="preserve">UAS7 : réduction moyenne de -15,86 vs -11,21 [différence : -4,65 points ; IC 95 % : -8,65 </w:t>
      </w:r>
      <w:proofErr w:type="spellStart"/>
      <w:r w:rsidRPr="001844D4">
        <w:rPr>
          <w:rFonts w:eastAsia="Times New Roman" w:cs="Times New Roman"/>
          <w:color w:val="101213"/>
          <w:kern w:val="0"/>
          <w:lang w:eastAsia="fr-FR"/>
          <w14:ligatures w14:val="none"/>
        </w:rPr>
        <w:t>à</w:t>
      </w:r>
      <w:proofErr w:type="spellEnd"/>
      <w:r w:rsidRPr="001844D4">
        <w:rPr>
          <w:rFonts w:eastAsia="Times New Roman" w:cs="Times New Roman"/>
          <w:color w:val="101213"/>
          <w:kern w:val="0"/>
          <w:lang w:eastAsia="fr-FR"/>
          <w14:ligatures w14:val="none"/>
        </w:rPr>
        <w:t xml:space="preserve"> -0,65 ; p = 0,02].</w:t>
      </w:r>
    </w:p>
    <w:p w14:paraId="123DBC70" w14:textId="77777777" w:rsidR="00B10A1C" w:rsidRPr="001844D4" w:rsidRDefault="00B10A1C" w:rsidP="001844D4">
      <w:pPr>
        <w:numPr>
          <w:ilvl w:val="0"/>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Analyse combinée (CUPID-A + CUPID-C, 289 participants) :</w:t>
      </w:r>
      <w:r w:rsidRPr="001844D4">
        <w:rPr>
          <w:rFonts w:eastAsia="Times New Roman" w:cs="Times New Roman"/>
          <w:color w:val="101213"/>
          <w:kern w:val="0"/>
          <w:lang w:eastAsia="fr-FR"/>
          <w14:ligatures w14:val="none"/>
        </w:rPr>
        <w:t> Confirmation des améliorations significatives pour les deux scores.</w:t>
      </w:r>
    </w:p>
    <w:p w14:paraId="6572CEFB" w14:textId="77777777" w:rsidR="00B10A1C" w:rsidRPr="001844D4" w:rsidRDefault="00B10A1C" w:rsidP="001844D4">
      <w:pPr>
        <w:numPr>
          <w:ilvl w:val="0"/>
          <w:numId w:val="1"/>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Sécurité :</w:t>
      </w:r>
      <w:r w:rsidRPr="001844D4">
        <w:rPr>
          <w:rFonts w:eastAsia="Times New Roman" w:cs="Times New Roman"/>
          <w:color w:val="101213"/>
          <w:kern w:val="0"/>
          <w:lang w:eastAsia="fr-FR"/>
          <w14:ligatures w14:val="none"/>
        </w:rPr>
        <w:t xml:space="preserve"> Profil de tolérance cohérent avec les données connues du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53,5 % des patients sous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vs 55,9 % sous placebo ont rapporté des effets indésirables liés au traitement.</w:t>
      </w:r>
    </w:p>
    <w:p w14:paraId="007B592A" w14:textId="36395E71" w:rsidR="00B10A1C" w:rsidRPr="001844D4" w:rsidRDefault="00B10A1C"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Conclusions :</w:t>
      </w:r>
      <w:r w:rsidRPr="001844D4">
        <w:rPr>
          <w:rFonts w:eastAsia="Times New Roman" w:cs="Times New Roman"/>
          <w:color w:val="101213"/>
          <w:kern w:val="0"/>
          <w:lang w:eastAsia="fr-FR"/>
          <w14:ligatures w14:val="none"/>
        </w:rPr>
        <w:t xml:space="preserve"> L’étude CUPID-C confirme les résultats de CUPID-A : le </w:t>
      </w:r>
      <w:proofErr w:type="spellStart"/>
      <w:r w:rsidRPr="001844D4">
        <w:rPr>
          <w:rFonts w:eastAsia="Times New Roman" w:cs="Times New Roman"/>
          <w:color w:val="101213"/>
          <w:kern w:val="0"/>
          <w:lang w:eastAsia="fr-FR"/>
          <w14:ligatures w14:val="none"/>
        </w:rPr>
        <w:t>dupilumab</w:t>
      </w:r>
      <w:proofErr w:type="spellEnd"/>
      <w:r w:rsidRPr="001844D4">
        <w:rPr>
          <w:rFonts w:eastAsia="Times New Roman" w:cs="Times New Roman"/>
          <w:color w:val="101213"/>
          <w:kern w:val="0"/>
          <w:lang w:eastAsia="fr-FR"/>
          <w14:ligatures w14:val="none"/>
        </w:rPr>
        <w:t xml:space="preserve"> réduit significativement l’activité de l’urticaire (démangeaisons et plaques) chez les patients non soulagés par les antihistaminiques et n’ayant jamais reçu de traitement anti-IgE. Son profil de sécurité reste conforme aux attentes.</w:t>
      </w:r>
    </w:p>
    <w:p w14:paraId="3C0C2265" w14:textId="2A3910F4" w:rsidR="00B10A1C" w:rsidRPr="001844D4" w:rsidRDefault="00B10A1C" w:rsidP="001844D4">
      <w:pPr>
        <w:jc w:val="both"/>
      </w:pPr>
      <w:r w:rsidRPr="001844D4">
        <w:t xml:space="preserve">Limitation : Uniquement </w:t>
      </w:r>
      <w:r w:rsidR="001844D4" w:rsidRPr="001844D4">
        <w:t xml:space="preserve">des </w:t>
      </w:r>
      <w:r w:rsidRPr="001844D4">
        <w:t>patient</w:t>
      </w:r>
      <w:r w:rsidR="001844D4" w:rsidRPr="001844D4">
        <w:t xml:space="preserve">s </w:t>
      </w:r>
      <w:r w:rsidRPr="001844D4">
        <w:t>naïf</w:t>
      </w:r>
      <w:r w:rsidR="001844D4" w:rsidRPr="001844D4">
        <w:t>s</w:t>
      </w:r>
      <w:r w:rsidRPr="001844D4">
        <w:t xml:space="preserve"> d’</w:t>
      </w:r>
      <w:proofErr w:type="spellStart"/>
      <w:r w:rsidRPr="001844D4">
        <w:t>omalizumab</w:t>
      </w:r>
      <w:proofErr w:type="spellEnd"/>
      <w:r w:rsidR="001844D4" w:rsidRPr="001844D4">
        <w:t xml:space="preserve"> et non répondeurs aux antihistaminiques (dose notice).</w:t>
      </w:r>
      <w:r w:rsidRPr="001844D4">
        <w:t xml:space="preserve"> Environ la moitié des patients n’avaient pris que la dose notice</w:t>
      </w:r>
      <w:r w:rsidR="001844D4" w:rsidRPr="001844D4">
        <w:t xml:space="preserve"> et n’avaient pas essayé une dose majorée</w:t>
      </w:r>
      <w:r w:rsidRPr="001844D4">
        <w:t>.</w:t>
      </w:r>
      <w:r w:rsidR="00C161EE">
        <w:t xml:space="preserve"> Seul 10% avaient pris la dose de 4x la posologie notice.</w:t>
      </w:r>
    </w:p>
    <w:p w14:paraId="40F56D47" w14:textId="77777777" w:rsidR="00FD0997" w:rsidRPr="001844D4" w:rsidRDefault="00FD0997" w:rsidP="001844D4">
      <w:pPr>
        <w:jc w:val="both"/>
      </w:pPr>
    </w:p>
    <w:p w14:paraId="72562E51" w14:textId="77777777" w:rsidR="00FD0997" w:rsidRPr="001844D4" w:rsidRDefault="00FD0997" w:rsidP="001844D4">
      <w:pPr>
        <w:jc w:val="both"/>
      </w:pPr>
    </w:p>
    <w:p w14:paraId="64AE9787" w14:textId="77777777" w:rsidR="00FD0997" w:rsidRPr="001844D4" w:rsidRDefault="00FD0997" w:rsidP="001844D4">
      <w:pPr>
        <w:jc w:val="both"/>
      </w:pPr>
    </w:p>
    <w:p w14:paraId="489AA1E8" w14:textId="77777777" w:rsidR="006B320B" w:rsidRPr="001844D4" w:rsidRDefault="00FD0997" w:rsidP="001844D4">
      <w:pPr>
        <w:jc w:val="both"/>
        <w:rPr>
          <w:b/>
          <w:bCs/>
          <w:lang w:val="nl-BE"/>
        </w:rPr>
      </w:pPr>
      <w:r w:rsidRPr="001844D4">
        <w:rPr>
          <w:b/>
          <w:bCs/>
          <w:lang w:val="nl-BE"/>
        </w:rPr>
        <w:t xml:space="preserve">Efficacy of Epinephrine Nasal Spray in the Treatment of Urticaria. </w:t>
      </w:r>
    </w:p>
    <w:p w14:paraId="1684381B" w14:textId="77777777" w:rsidR="009A3B29" w:rsidRPr="001844D4" w:rsidRDefault="009A3B29" w:rsidP="001844D4">
      <w:pPr>
        <w:jc w:val="both"/>
        <w:rPr>
          <w:lang w:val="nl-BE"/>
        </w:rPr>
      </w:pPr>
    </w:p>
    <w:p w14:paraId="2C7A5D29" w14:textId="704B6242" w:rsidR="00FD0997" w:rsidRPr="001844D4" w:rsidRDefault="00FD0997" w:rsidP="001844D4">
      <w:pPr>
        <w:jc w:val="both"/>
        <w:rPr>
          <w:lang w:val="nl-BE"/>
        </w:rPr>
      </w:pPr>
      <w:r w:rsidRPr="001844D4">
        <w:rPr>
          <w:lang w:val="nl-BE"/>
        </w:rPr>
        <w:t>Bernstein DI, Talreja N, Casale TB, Li HH, Kaliner MA, Lowenthal R, Tanimoto S.</w:t>
      </w:r>
    </w:p>
    <w:p w14:paraId="00DCEF9E" w14:textId="77777777" w:rsidR="009A3B29" w:rsidRPr="001844D4" w:rsidRDefault="009A3B29" w:rsidP="001844D4">
      <w:pPr>
        <w:jc w:val="both"/>
        <w:rPr>
          <w:lang w:val="nl-BE"/>
        </w:rPr>
      </w:pPr>
      <w:r w:rsidRPr="001844D4">
        <w:rPr>
          <w:lang w:val="nl-BE"/>
        </w:rPr>
        <w:t xml:space="preserve">J Allergy Clin Immunol Pract. 2026 </w:t>
      </w:r>
    </w:p>
    <w:p w14:paraId="7ECB13F4" w14:textId="45AA4035" w:rsidR="00FD0997" w:rsidRPr="001844D4" w:rsidRDefault="00FD0997" w:rsidP="001844D4">
      <w:pPr>
        <w:jc w:val="both"/>
        <w:rPr>
          <w:lang w:val="nl-BE"/>
        </w:rPr>
      </w:pPr>
      <w:r w:rsidRPr="001844D4">
        <w:rPr>
          <w:lang w:val="nl-BE"/>
        </w:rPr>
        <w:t xml:space="preserve">doi: 10.1016/j.jaip.2026.02.010. </w:t>
      </w:r>
    </w:p>
    <w:p w14:paraId="6EDABA08" w14:textId="77777777" w:rsidR="006B320B" w:rsidRPr="001844D4" w:rsidRDefault="006B320B" w:rsidP="001844D4">
      <w:pPr>
        <w:jc w:val="both"/>
        <w:rPr>
          <w:lang w:val="nl-BE"/>
        </w:rPr>
      </w:pPr>
    </w:p>
    <w:p w14:paraId="67AECB4B" w14:textId="270636AB"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Objectif :</w:t>
      </w:r>
      <w:r w:rsidRPr="001844D4">
        <w:rPr>
          <w:rFonts w:eastAsia="Times New Roman" w:cs="Times New Roman"/>
          <w:color w:val="101213"/>
          <w:kern w:val="0"/>
          <w:lang w:eastAsia="fr-FR"/>
          <w14:ligatures w14:val="none"/>
        </w:rPr>
        <w:t> Évaluer l’efficacité et la sécurité d’un spray intranasal d’épinéphrine (ARS-2)  dans le traitement des poussées d’UCS.</w:t>
      </w:r>
    </w:p>
    <w:p w14:paraId="37B9E260" w14:textId="04D267B2"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Méthodes :</w:t>
      </w:r>
      <w:r w:rsidRPr="001844D4">
        <w:rPr>
          <w:rFonts w:eastAsia="Times New Roman" w:cs="Times New Roman"/>
          <w:color w:val="101213"/>
          <w:kern w:val="0"/>
          <w:lang w:eastAsia="fr-FR"/>
          <w14:ligatures w14:val="none"/>
        </w:rPr>
        <w:t> Étude de phase 2, randomisée, contrôlée par placebo, avec une dose unique. Vingt-et-un adultes en poussée aiguë d’urticaire ont reçu ARS-2 (1 ou 2 mg) ou un placebo. Les symptômes et leur sévérité ont été évalués via des scores rapportés par les patients et notés par les investigateurs.</w:t>
      </w:r>
    </w:p>
    <w:p w14:paraId="712E4674" w14:textId="77777777"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Résultats :</w:t>
      </w:r>
      <w:r w:rsidRPr="001844D4">
        <w:rPr>
          <w:rFonts w:eastAsia="Times New Roman" w:cs="Times New Roman"/>
          <w:color w:val="101213"/>
          <w:kern w:val="0"/>
          <w:lang w:eastAsia="fr-FR"/>
          <w14:ligatures w14:val="none"/>
        </w:rPr>
        <w:t> Comparé au placebo, ARS-2 (1 et 2 mg) a réduit significativement :</w:t>
      </w:r>
    </w:p>
    <w:p w14:paraId="1751B838" w14:textId="77777777" w:rsidR="006B320B" w:rsidRPr="001844D4" w:rsidRDefault="006B320B" w:rsidP="001844D4">
      <w:pPr>
        <w:numPr>
          <w:ilvl w:val="0"/>
          <w:numId w:val="2"/>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Les scores de plaques et de démangeaisons rapportés par les patients (</w:t>
      </w:r>
      <w:r w:rsidRPr="001844D4">
        <w:rPr>
          <w:rFonts w:eastAsia="Times New Roman" w:cs="Times New Roman"/>
          <w:i/>
          <w:iCs/>
          <w:color w:val="101213"/>
          <w:kern w:val="0"/>
          <w:lang w:eastAsia="fr-FR"/>
          <w14:ligatures w14:val="none"/>
        </w:rPr>
        <w:t>p</w:t>
      </w:r>
      <w:r w:rsidRPr="001844D4">
        <w:rPr>
          <w:rFonts w:eastAsia="Times New Roman" w:cs="Times New Roman"/>
          <w:color w:val="101213"/>
          <w:kern w:val="0"/>
          <w:lang w:eastAsia="fr-FR"/>
          <w14:ligatures w14:val="none"/>
        </w:rPr>
        <w:t> &lt; 0,05).</w:t>
      </w:r>
    </w:p>
    <w:p w14:paraId="3514FB5C" w14:textId="77777777" w:rsidR="006B320B" w:rsidRPr="001844D4" w:rsidRDefault="006B320B" w:rsidP="001844D4">
      <w:pPr>
        <w:numPr>
          <w:ilvl w:val="0"/>
          <w:numId w:val="2"/>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L’étendue de l’urticaire et l’érythème évalués par les investigateurs (</w:t>
      </w:r>
      <w:r w:rsidRPr="001844D4">
        <w:rPr>
          <w:rFonts w:eastAsia="Times New Roman" w:cs="Times New Roman"/>
          <w:i/>
          <w:iCs/>
          <w:color w:val="101213"/>
          <w:kern w:val="0"/>
          <w:lang w:eastAsia="fr-FR"/>
          <w14:ligatures w14:val="none"/>
        </w:rPr>
        <w:t>p</w:t>
      </w:r>
      <w:r w:rsidRPr="001844D4">
        <w:rPr>
          <w:rFonts w:eastAsia="Times New Roman" w:cs="Times New Roman"/>
          <w:color w:val="101213"/>
          <w:kern w:val="0"/>
          <w:lang w:eastAsia="fr-FR"/>
          <w14:ligatures w14:val="none"/>
        </w:rPr>
        <w:t xml:space="preserve"> &lt; 0,05). Un plus grand pourcentage de patients sous ARS-2 a été jugé "efficacement traité" par les investigateurs. La satisfaction des patients était également </w:t>
      </w:r>
      <w:r w:rsidRPr="001844D4">
        <w:rPr>
          <w:rFonts w:eastAsia="Times New Roman" w:cs="Times New Roman"/>
          <w:color w:val="101213"/>
          <w:kern w:val="0"/>
          <w:lang w:eastAsia="fr-FR"/>
          <w14:ligatures w14:val="none"/>
        </w:rPr>
        <w:lastRenderedPageBreak/>
        <w:t>significativement plus élevée. Seuls des effets indésirables mineurs ont été rapportés.</w:t>
      </w:r>
    </w:p>
    <w:p w14:paraId="00FBC90D" w14:textId="53B904FB"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Conclusion :</w:t>
      </w:r>
      <w:r w:rsidRPr="001844D4">
        <w:rPr>
          <w:rFonts w:eastAsia="Times New Roman" w:cs="Times New Roman"/>
          <w:color w:val="101213"/>
          <w:kern w:val="0"/>
          <w:lang w:eastAsia="fr-FR"/>
          <w14:ligatures w14:val="none"/>
        </w:rPr>
        <w:t> Le spray intranasal d’épinéphrine pourrait constituer une option de traitement sûre et efficace pour les exacerbations d’urticaire.</w:t>
      </w:r>
    </w:p>
    <w:p w14:paraId="198B61B8" w14:textId="77777777"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Remarque :</w:t>
      </w:r>
    </w:p>
    <w:p w14:paraId="29CEE203" w14:textId="3E0C2859"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 xml:space="preserve">Actuellement, on est un peu démunis pour soulager les patients qui ont de temps en temps des poussées aigues non contrôlée de leur UCS. Cette article propose un traitement pour passer un cap en évitant les corticoïdes systémiques. </w:t>
      </w:r>
    </w:p>
    <w:p w14:paraId="084A621F" w14:textId="72146A8C"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 xml:space="preserve">Limitation : cette étude à uniquement évalué l’efficacité directe. Pas de suivi sur plusieurs semaines. Pas de données concernant la tolérance si usage </w:t>
      </w:r>
      <w:r w:rsidR="001844D4" w:rsidRPr="001844D4">
        <w:rPr>
          <w:rFonts w:eastAsia="Times New Roman" w:cs="Times New Roman"/>
          <w:color w:val="101213"/>
          <w:kern w:val="0"/>
          <w:lang w:eastAsia="fr-FR"/>
          <w14:ligatures w14:val="none"/>
        </w:rPr>
        <w:t>répété</w:t>
      </w:r>
      <w:r w:rsidRPr="001844D4">
        <w:rPr>
          <w:rFonts w:eastAsia="Times New Roman" w:cs="Times New Roman"/>
          <w:color w:val="101213"/>
          <w:kern w:val="0"/>
          <w:lang w:eastAsia="fr-FR"/>
          <w14:ligatures w14:val="none"/>
        </w:rPr>
        <w:t xml:space="preserve">. </w:t>
      </w:r>
    </w:p>
    <w:p w14:paraId="15171182" w14:textId="77777777" w:rsidR="009A3B29" w:rsidRPr="001844D4" w:rsidRDefault="009A3B29" w:rsidP="001844D4">
      <w:pPr>
        <w:spacing w:before="100" w:beforeAutospacing="1" w:after="100" w:afterAutospacing="1"/>
        <w:jc w:val="both"/>
        <w:rPr>
          <w:rFonts w:eastAsia="Times New Roman" w:cs="Times New Roman"/>
          <w:color w:val="101213"/>
          <w:kern w:val="0"/>
          <w:lang w:eastAsia="fr-FR"/>
          <w14:ligatures w14:val="none"/>
        </w:rPr>
      </w:pPr>
    </w:p>
    <w:p w14:paraId="22BF55B1" w14:textId="77777777" w:rsidR="006B320B" w:rsidRPr="001844D4" w:rsidRDefault="006B320B" w:rsidP="001844D4">
      <w:pPr>
        <w:spacing w:before="100" w:beforeAutospacing="1" w:after="100" w:afterAutospacing="1"/>
        <w:jc w:val="both"/>
        <w:rPr>
          <w:b/>
          <w:bCs/>
        </w:rPr>
      </w:pPr>
      <w:proofErr w:type="spellStart"/>
      <w:r w:rsidRPr="001844D4">
        <w:rPr>
          <w:b/>
          <w:bCs/>
        </w:rPr>
        <w:t>Safety</w:t>
      </w:r>
      <w:proofErr w:type="spellEnd"/>
      <w:r w:rsidRPr="001844D4">
        <w:rPr>
          <w:b/>
          <w:bCs/>
        </w:rPr>
        <w:t xml:space="preserve"> and </w:t>
      </w:r>
      <w:proofErr w:type="spellStart"/>
      <w:r w:rsidRPr="001844D4">
        <w:rPr>
          <w:b/>
          <w:bCs/>
        </w:rPr>
        <w:t>efficacy</w:t>
      </w:r>
      <w:proofErr w:type="spellEnd"/>
      <w:r w:rsidRPr="001844D4">
        <w:rPr>
          <w:b/>
          <w:bCs/>
        </w:rPr>
        <w:t xml:space="preserve"> of the </w:t>
      </w:r>
      <w:proofErr w:type="spellStart"/>
      <w:r w:rsidRPr="001844D4">
        <w:rPr>
          <w:b/>
          <w:bCs/>
        </w:rPr>
        <w:t>selective</w:t>
      </w:r>
      <w:proofErr w:type="spellEnd"/>
      <w:r w:rsidRPr="001844D4">
        <w:rPr>
          <w:b/>
          <w:bCs/>
        </w:rPr>
        <w:t xml:space="preserve"> tyrosine kinase 2/Janus kinase 1 </w:t>
      </w:r>
      <w:proofErr w:type="spellStart"/>
      <w:r w:rsidRPr="001844D4">
        <w:rPr>
          <w:b/>
          <w:bCs/>
        </w:rPr>
        <w:t>inhibitor</w:t>
      </w:r>
      <w:proofErr w:type="spellEnd"/>
      <w:r w:rsidRPr="001844D4">
        <w:rPr>
          <w:b/>
          <w:bCs/>
        </w:rPr>
        <w:t xml:space="preserve"> TLL-018 in </w:t>
      </w:r>
      <w:proofErr w:type="spellStart"/>
      <w:r w:rsidRPr="001844D4">
        <w:rPr>
          <w:b/>
          <w:bCs/>
        </w:rPr>
        <w:t>moderate</w:t>
      </w:r>
      <w:proofErr w:type="spellEnd"/>
      <w:r w:rsidRPr="001844D4">
        <w:rPr>
          <w:b/>
          <w:bCs/>
        </w:rPr>
        <w:t xml:space="preserve"> to </w:t>
      </w:r>
      <w:proofErr w:type="spellStart"/>
      <w:r w:rsidRPr="001844D4">
        <w:rPr>
          <w:b/>
          <w:bCs/>
        </w:rPr>
        <w:t>severe</w:t>
      </w:r>
      <w:proofErr w:type="spellEnd"/>
      <w:r w:rsidRPr="001844D4">
        <w:rPr>
          <w:b/>
          <w:bCs/>
        </w:rPr>
        <w:t xml:space="preserve"> </w:t>
      </w:r>
      <w:proofErr w:type="spellStart"/>
      <w:r w:rsidRPr="001844D4">
        <w:rPr>
          <w:b/>
          <w:bCs/>
        </w:rPr>
        <w:t>chronic</w:t>
      </w:r>
      <w:proofErr w:type="spellEnd"/>
      <w:r w:rsidRPr="001844D4">
        <w:rPr>
          <w:b/>
          <w:bCs/>
        </w:rPr>
        <w:t xml:space="preserve"> </w:t>
      </w:r>
      <w:proofErr w:type="spellStart"/>
      <w:r w:rsidRPr="001844D4">
        <w:rPr>
          <w:b/>
          <w:bCs/>
        </w:rPr>
        <w:t>spontaneous</w:t>
      </w:r>
      <w:proofErr w:type="spellEnd"/>
      <w:r w:rsidRPr="001844D4">
        <w:rPr>
          <w:b/>
          <w:bCs/>
        </w:rPr>
        <w:t xml:space="preserve"> </w:t>
      </w:r>
      <w:proofErr w:type="spellStart"/>
      <w:r w:rsidRPr="001844D4">
        <w:rPr>
          <w:b/>
          <w:bCs/>
        </w:rPr>
        <w:t>urticaria</w:t>
      </w:r>
      <w:proofErr w:type="spellEnd"/>
      <w:r w:rsidRPr="001844D4">
        <w:rPr>
          <w:b/>
          <w:bCs/>
        </w:rPr>
        <w:t xml:space="preserve"> patients </w:t>
      </w:r>
      <w:proofErr w:type="spellStart"/>
      <w:r w:rsidRPr="001844D4">
        <w:rPr>
          <w:b/>
          <w:bCs/>
        </w:rPr>
        <w:t>with</w:t>
      </w:r>
      <w:proofErr w:type="spellEnd"/>
      <w:r w:rsidRPr="001844D4">
        <w:rPr>
          <w:b/>
          <w:bCs/>
        </w:rPr>
        <w:t xml:space="preserve"> </w:t>
      </w:r>
      <w:proofErr w:type="spellStart"/>
      <w:r w:rsidRPr="001844D4">
        <w:rPr>
          <w:b/>
          <w:bCs/>
        </w:rPr>
        <w:t>inadequate</w:t>
      </w:r>
      <w:proofErr w:type="spellEnd"/>
      <w:r w:rsidRPr="001844D4">
        <w:rPr>
          <w:b/>
          <w:bCs/>
        </w:rPr>
        <w:t xml:space="preserve"> </w:t>
      </w:r>
      <w:proofErr w:type="spellStart"/>
      <w:r w:rsidRPr="001844D4">
        <w:rPr>
          <w:b/>
          <w:bCs/>
        </w:rPr>
        <w:t>response</w:t>
      </w:r>
      <w:proofErr w:type="spellEnd"/>
      <w:r w:rsidRPr="001844D4">
        <w:rPr>
          <w:b/>
          <w:bCs/>
        </w:rPr>
        <w:t xml:space="preserve"> to H1 </w:t>
      </w:r>
      <w:proofErr w:type="spellStart"/>
      <w:r w:rsidRPr="001844D4">
        <w:rPr>
          <w:b/>
          <w:bCs/>
        </w:rPr>
        <w:t>antihistamines</w:t>
      </w:r>
      <w:proofErr w:type="spellEnd"/>
      <w:r w:rsidRPr="001844D4">
        <w:rPr>
          <w:b/>
          <w:bCs/>
        </w:rPr>
        <w:t xml:space="preserve">: </w:t>
      </w:r>
      <w:proofErr w:type="spellStart"/>
      <w:r w:rsidRPr="001844D4">
        <w:rPr>
          <w:b/>
          <w:bCs/>
        </w:rPr>
        <w:t>a</w:t>
      </w:r>
      <w:proofErr w:type="spellEnd"/>
      <w:r w:rsidRPr="001844D4">
        <w:rPr>
          <w:b/>
          <w:bCs/>
        </w:rPr>
        <w:t xml:space="preserve"> phase </w:t>
      </w:r>
      <w:proofErr w:type="spellStart"/>
      <w:r w:rsidRPr="001844D4">
        <w:rPr>
          <w:b/>
          <w:bCs/>
        </w:rPr>
        <w:t>Ib</w:t>
      </w:r>
      <w:proofErr w:type="spellEnd"/>
      <w:r w:rsidRPr="001844D4">
        <w:rPr>
          <w:b/>
          <w:bCs/>
        </w:rPr>
        <w:t xml:space="preserve">, </w:t>
      </w:r>
      <w:proofErr w:type="spellStart"/>
      <w:r w:rsidRPr="001844D4">
        <w:rPr>
          <w:b/>
          <w:bCs/>
        </w:rPr>
        <w:t>randomized</w:t>
      </w:r>
      <w:proofErr w:type="spellEnd"/>
      <w:r w:rsidRPr="001844D4">
        <w:rPr>
          <w:b/>
          <w:bCs/>
        </w:rPr>
        <w:t>, double-blind, placebo-</w:t>
      </w:r>
      <w:proofErr w:type="spellStart"/>
      <w:r w:rsidRPr="001844D4">
        <w:rPr>
          <w:b/>
          <w:bCs/>
        </w:rPr>
        <w:t>controlled</w:t>
      </w:r>
      <w:proofErr w:type="spellEnd"/>
      <w:r w:rsidRPr="001844D4">
        <w:rPr>
          <w:b/>
          <w:bCs/>
        </w:rPr>
        <w:t xml:space="preserve"> pilot </w:t>
      </w:r>
      <w:proofErr w:type="spellStart"/>
      <w:r w:rsidRPr="001844D4">
        <w:rPr>
          <w:b/>
          <w:bCs/>
        </w:rPr>
        <w:t>study</w:t>
      </w:r>
      <w:proofErr w:type="spellEnd"/>
      <w:r w:rsidRPr="001844D4">
        <w:rPr>
          <w:b/>
          <w:bCs/>
        </w:rPr>
        <w:t xml:space="preserve">. </w:t>
      </w:r>
    </w:p>
    <w:p w14:paraId="406F2011" w14:textId="77777777" w:rsidR="00C161EE" w:rsidRDefault="006B320B" w:rsidP="001844D4">
      <w:pPr>
        <w:spacing w:before="100" w:beforeAutospacing="1" w:after="100" w:afterAutospacing="1"/>
        <w:jc w:val="both"/>
      </w:pPr>
      <w:r w:rsidRPr="001844D4">
        <w:t>Yao X, Liu Y, Luo Y, Liu X, Zhou M, Yang B, Liu L, Li L, Liu W, Man X, Chen A, Shi Y, Ding Y, Sun Q, Tao J, Chen J, Liang C, Lu Q.</w:t>
      </w:r>
    </w:p>
    <w:p w14:paraId="35BA54D4" w14:textId="5D0FC115" w:rsidR="006B320B" w:rsidRPr="00C161EE" w:rsidRDefault="006B320B" w:rsidP="001844D4">
      <w:pPr>
        <w:spacing w:before="100" w:beforeAutospacing="1" w:after="100" w:afterAutospacing="1"/>
        <w:jc w:val="both"/>
      </w:pPr>
      <w:r w:rsidRPr="001844D4">
        <w:rPr>
          <w:lang w:val="nl-BE"/>
        </w:rPr>
        <w:t>Br J Dermatol. 2026</w:t>
      </w:r>
    </w:p>
    <w:p w14:paraId="0DDF92FE" w14:textId="78642A5E" w:rsidR="006B320B" w:rsidRPr="001844D4" w:rsidRDefault="006B320B" w:rsidP="001844D4">
      <w:pPr>
        <w:spacing w:before="100" w:beforeAutospacing="1" w:after="100" w:afterAutospacing="1"/>
        <w:jc w:val="both"/>
        <w:rPr>
          <w:lang w:val="nl-BE"/>
        </w:rPr>
      </w:pPr>
      <w:r w:rsidRPr="001844D4">
        <w:rPr>
          <w:lang w:val="nl-BE"/>
        </w:rPr>
        <w:t>doi: 10.1093/bjd/ljag092.</w:t>
      </w:r>
    </w:p>
    <w:p w14:paraId="223E34E0" w14:textId="58E4ABBB" w:rsidR="006B320B" w:rsidRPr="001844D4" w:rsidRDefault="006B320B" w:rsidP="001844D4">
      <w:pPr>
        <w:pStyle w:val="NormalWeb"/>
        <w:jc w:val="both"/>
        <w:rPr>
          <w:rFonts w:asciiTheme="minorHAnsi" w:hAnsiTheme="minorHAnsi"/>
          <w:color w:val="101213"/>
        </w:rPr>
      </w:pPr>
      <w:r w:rsidRPr="001844D4">
        <w:rPr>
          <w:rStyle w:val="lev"/>
          <w:rFonts w:asciiTheme="minorHAnsi" w:hAnsiTheme="minorHAnsi"/>
          <w:color w:val="101213"/>
        </w:rPr>
        <w:t>Objectifs</w:t>
      </w:r>
      <w:r w:rsidRPr="001844D4">
        <w:rPr>
          <w:rStyle w:val="apple-converted-space"/>
          <w:rFonts w:asciiTheme="minorHAnsi" w:hAnsiTheme="minorHAnsi"/>
          <w:color w:val="101213"/>
        </w:rPr>
        <w:t> </w:t>
      </w:r>
      <w:r w:rsidRPr="001844D4">
        <w:rPr>
          <w:rFonts w:asciiTheme="minorHAnsi" w:hAnsiTheme="minorHAnsi"/>
          <w:color w:val="101213"/>
        </w:rPr>
        <w:t>: Évaluer l’efficacité et la sécurité du TLL-018 qui est un inhibiteur oral de TYK2/JAK1 dans le traitement de l’UCS modérée à sévère chez des patients n’ayant pas répondu de manière adéquate aux antihistaminiques.</w:t>
      </w:r>
    </w:p>
    <w:p w14:paraId="477F3DC1" w14:textId="689ABC4B" w:rsidR="006B320B" w:rsidRPr="001844D4" w:rsidRDefault="006B320B" w:rsidP="001844D4">
      <w:pPr>
        <w:pStyle w:val="NormalWeb"/>
        <w:jc w:val="both"/>
        <w:rPr>
          <w:rFonts w:asciiTheme="minorHAnsi" w:hAnsiTheme="minorHAnsi"/>
          <w:color w:val="101213"/>
        </w:rPr>
      </w:pPr>
      <w:r w:rsidRPr="001844D4">
        <w:rPr>
          <w:rStyle w:val="lev"/>
          <w:rFonts w:asciiTheme="minorHAnsi" w:hAnsiTheme="minorHAnsi"/>
          <w:color w:val="101213"/>
        </w:rPr>
        <w:t>Méthodes</w:t>
      </w:r>
      <w:r w:rsidRPr="001844D4">
        <w:rPr>
          <w:rStyle w:val="apple-converted-space"/>
          <w:rFonts w:asciiTheme="minorHAnsi" w:hAnsiTheme="minorHAnsi"/>
          <w:color w:val="101213"/>
        </w:rPr>
        <w:t> </w:t>
      </w:r>
      <w:r w:rsidRPr="001844D4">
        <w:rPr>
          <w:rFonts w:asciiTheme="minorHAnsi" w:hAnsiTheme="minorHAnsi"/>
          <w:color w:val="101213"/>
        </w:rPr>
        <w:t>: Dans cette étude pilote multicentrique, randomisée, en double aveugle, contrôlée par placebo (NCT05373355), des patients atteints d’UCS et présentant une réponse insuffisante aux antihistaminiques ont reçu soit 10 mg, soit 30 mg de TLL-018, soit un placebo, par voie orale deux fois par jour. Après 4 semaines, les patients sous placebo sont passés à 20 mg de TLL-018, avec une poursuite du traitement pendant 8 semaines supplémentaires. Le critère principal était la sécurité, tandis que les critères secondaires incluaient des mesures d’efficacité, telles que l’UAS7 ≤ 6, UAS7 = 0, et un DLQI de 0 ou 1 aux semaines 4 et 12.</w:t>
      </w:r>
    </w:p>
    <w:p w14:paraId="777100C8" w14:textId="28F34798" w:rsidR="006B320B" w:rsidRPr="001844D4" w:rsidRDefault="006B320B" w:rsidP="001844D4">
      <w:pPr>
        <w:pStyle w:val="NormalWeb"/>
        <w:jc w:val="both"/>
        <w:rPr>
          <w:rFonts w:asciiTheme="minorHAnsi" w:hAnsiTheme="minorHAnsi"/>
          <w:color w:val="101213"/>
        </w:rPr>
      </w:pPr>
      <w:r w:rsidRPr="001844D4">
        <w:rPr>
          <w:rStyle w:val="lev"/>
          <w:rFonts w:asciiTheme="minorHAnsi" w:hAnsiTheme="minorHAnsi"/>
          <w:color w:val="101213"/>
        </w:rPr>
        <w:t>Résultats</w:t>
      </w:r>
      <w:r w:rsidRPr="001844D4">
        <w:rPr>
          <w:rStyle w:val="apple-converted-space"/>
          <w:rFonts w:asciiTheme="minorHAnsi" w:hAnsiTheme="minorHAnsi"/>
          <w:color w:val="101213"/>
        </w:rPr>
        <w:t> </w:t>
      </w:r>
      <w:r w:rsidRPr="001844D4">
        <w:rPr>
          <w:rFonts w:asciiTheme="minorHAnsi" w:hAnsiTheme="minorHAnsi"/>
          <w:color w:val="101213"/>
        </w:rPr>
        <w:t xml:space="preserve">: L’étude a inclus 41 patients. </w:t>
      </w:r>
      <w:r w:rsidRPr="001844D4">
        <w:rPr>
          <w:rFonts w:asciiTheme="minorHAnsi" w:hAnsiTheme="minorHAnsi"/>
          <w:color w:val="101213"/>
          <w:shd w:val="clear" w:color="auto" w:fill="FBFBFB"/>
        </w:rPr>
        <w:t>À la semaine 4, l’analyse de covariance</w:t>
      </w:r>
      <w:r w:rsidR="00C161EE">
        <w:rPr>
          <w:rFonts w:asciiTheme="minorHAnsi" w:hAnsiTheme="minorHAnsi"/>
          <w:color w:val="101213"/>
          <w:shd w:val="clear" w:color="auto" w:fill="FBFBFB"/>
        </w:rPr>
        <w:t xml:space="preserve"> </w:t>
      </w:r>
      <w:r w:rsidRPr="001844D4">
        <w:rPr>
          <w:rFonts w:asciiTheme="minorHAnsi" w:hAnsiTheme="minorHAnsi"/>
          <w:color w:val="101213"/>
          <w:shd w:val="clear" w:color="auto" w:fill="FBFBFB"/>
        </w:rPr>
        <w:t>pour la variation par rapport au placebo du score UAS7 était de -11,5 dans le groupe 10 mg et de -16,0 dans le groupe 30 mg.</w:t>
      </w:r>
      <w:r w:rsidRPr="001844D4">
        <w:rPr>
          <w:rFonts w:asciiTheme="minorHAnsi" w:hAnsiTheme="minorHAnsi"/>
          <w:color w:val="101213"/>
        </w:rPr>
        <w:t xml:space="preserve"> À la semaine 12, les pourcentages de patients atteignant un UAS7 ≤ 6 et un UAS7 = 0 étaient respectivement de 53,8 %/38,5 %, 71,4 %/64,3 % et 61,5 %/53,8 % dans les groupes placebo→20 mg, 10 mg et 30 mg de TLL-018. Les effets </w:t>
      </w:r>
      <w:r w:rsidRPr="001844D4">
        <w:rPr>
          <w:rFonts w:asciiTheme="minorHAnsi" w:hAnsiTheme="minorHAnsi"/>
          <w:color w:val="101213"/>
        </w:rPr>
        <w:lastRenderedPageBreak/>
        <w:t xml:space="preserve">indésirables les plus fréquents comprenaient une élévation de la créatine kinase sérique et des lipides sanguins, une hyperglycémie et </w:t>
      </w:r>
      <w:r w:rsidR="001844D4" w:rsidRPr="001844D4">
        <w:rPr>
          <w:rFonts w:asciiTheme="minorHAnsi" w:hAnsiTheme="minorHAnsi"/>
          <w:color w:val="101213"/>
        </w:rPr>
        <w:t>une hématurie.</w:t>
      </w:r>
    </w:p>
    <w:p w14:paraId="4537F988" w14:textId="00FA5E89" w:rsidR="006B320B" w:rsidRPr="001844D4" w:rsidRDefault="006B320B" w:rsidP="001844D4">
      <w:pPr>
        <w:pStyle w:val="NormalWeb"/>
        <w:jc w:val="both"/>
        <w:rPr>
          <w:rFonts w:asciiTheme="minorHAnsi" w:hAnsiTheme="minorHAnsi"/>
          <w:color w:val="101213"/>
        </w:rPr>
      </w:pPr>
      <w:r w:rsidRPr="001844D4">
        <w:rPr>
          <w:rStyle w:val="lev"/>
          <w:rFonts w:asciiTheme="minorHAnsi" w:hAnsiTheme="minorHAnsi"/>
          <w:color w:val="101213"/>
        </w:rPr>
        <w:t>Conclusions</w:t>
      </w:r>
      <w:r w:rsidRPr="001844D4">
        <w:rPr>
          <w:rStyle w:val="apple-converted-space"/>
          <w:rFonts w:asciiTheme="minorHAnsi" w:hAnsiTheme="minorHAnsi"/>
          <w:color w:val="101213"/>
        </w:rPr>
        <w:t> </w:t>
      </w:r>
      <w:r w:rsidRPr="001844D4">
        <w:rPr>
          <w:rFonts w:asciiTheme="minorHAnsi" w:hAnsiTheme="minorHAnsi"/>
          <w:color w:val="101213"/>
        </w:rPr>
        <w:t>: Le TLL-018 a été bien toléré et s’est révélé efficace dans le traitement de l’UCS modérée à sévère chez les patients n’ayant pas répondu aux antihistaminiques.</w:t>
      </w:r>
    </w:p>
    <w:p w14:paraId="4B80B1A5" w14:textId="4B91B6B8"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Remarque : c’est une étude de phase 1 avec 41 patients.</w:t>
      </w:r>
      <w:r w:rsidR="001844D4" w:rsidRPr="001844D4">
        <w:rPr>
          <w:rFonts w:eastAsia="Times New Roman" w:cs="Times New Roman"/>
          <w:color w:val="101213"/>
          <w:kern w:val="0"/>
          <w:lang w:eastAsia="fr-FR"/>
          <w14:ligatures w14:val="none"/>
        </w:rPr>
        <w:t xml:space="preserve"> Le mécanisme par lequel cette inhibition de JAK1/Tyk2 améliore l’urticaire est encore à approfondir.</w:t>
      </w:r>
    </w:p>
    <w:p w14:paraId="60B485F1" w14:textId="55DFEFA2" w:rsidR="006B320B" w:rsidRPr="001844D4" w:rsidRDefault="006B320B"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Limitations : essentiellement des patient naïfs d’</w:t>
      </w:r>
      <w:proofErr w:type="spellStart"/>
      <w:r w:rsidRPr="001844D4">
        <w:rPr>
          <w:rFonts w:eastAsia="Times New Roman" w:cs="Times New Roman"/>
          <w:color w:val="101213"/>
          <w:kern w:val="0"/>
          <w:lang w:eastAsia="fr-FR"/>
          <w14:ligatures w14:val="none"/>
        </w:rPr>
        <w:t>omalizumab</w:t>
      </w:r>
      <w:proofErr w:type="spellEnd"/>
      <w:r w:rsidRPr="001844D4">
        <w:t>. Environ la moitié des patients n’avaient pas pris 4</w:t>
      </w:r>
      <w:r w:rsidR="00C161EE">
        <w:t xml:space="preserve"> x la posologie notice par </w:t>
      </w:r>
      <w:r w:rsidRPr="001844D4">
        <w:t>jour.</w:t>
      </w:r>
    </w:p>
    <w:p w14:paraId="43BB0A86" w14:textId="77777777" w:rsidR="00F005C9" w:rsidRPr="001844D4" w:rsidRDefault="00F005C9" w:rsidP="001844D4">
      <w:pPr>
        <w:spacing w:before="100" w:beforeAutospacing="1" w:after="100" w:afterAutospacing="1"/>
        <w:jc w:val="both"/>
        <w:rPr>
          <w:rFonts w:eastAsia="Times New Roman" w:cs="Times New Roman"/>
          <w:b/>
          <w:bCs/>
          <w:color w:val="101213"/>
          <w:kern w:val="0"/>
          <w:lang w:eastAsia="fr-FR"/>
          <w14:ligatures w14:val="none"/>
        </w:rPr>
      </w:pPr>
    </w:p>
    <w:p w14:paraId="11D28652" w14:textId="77777777" w:rsidR="00F005C9" w:rsidRPr="001844D4" w:rsidRDefault="00F005C9" w:rsidP="001844D4">
      <w:pPr>
        <w:spacing w:before="100" w:beforeAutospacing="1" w:after="100" w:afterAutospacing="1"/>
        <w:jc w:val="both"/>
        <w:rPr>
          <w:b/>
          <w:bCs/>
        </w:rPr>
      </w:pPr>
      <w:proofErr w:type="spellStart"/>
      <w:r w:rsidRPr="001844D4">
        <w:rPr>
          <w:b/>
          <w:bCs/>
        </w:rPr>
        <w:t>Sleep</w:t>
      </w:r>
      <w:proofErr w:type="spellEnd"/>
      <w:r w:rsidRPr="001844D4">
        <w:rPr>
          <w:b/>
          <w:bCs/>
        </w:rPr>
        <w:t xml:space="preserve"> </w:t>
      </w:r>
      <w:proofErr w:type="spellStart"/>
      <w:r w:rsidRPr="001844D4">
        <w:rPr>
          <w:b/>
          <w:bCs/>
        </w:rPr>
        <w:t>disturbances</w:t>
      </w:r>
      <w:proofErr w:type="spellEnd"/>
      <w:r w:rsidRPr="001844D4">
        <w:rPr>
          <w:b/>
          <w:bCs/>
        </w:rPr>
        <w:t xml:space="preserve"> and </w:t>
      </w:r>
      <w:proofErr w:type="spellStart"/>
      <w:r w:rsidRPr="001844D4">
        <w:rPr>
          <w:b/>
          <w:bCs/>
        </w:rPr>
        <w:t>psychological</w:t>
      </w:r>
      <w:proofErr w:type="spellEnd"/>
      <w:r w:rsidRPr="001844D4">
        <w:rPr>
          <w:b/>
          <w:bCs/>
        </w:rPr>
        <w:t xml:space="preserve"> </w:t>
      </w:r>
      <w:proofErr w:type="spellStart"/>
      <w:r w:rsidRPr="001844D4">
        <w:rPr>
          <w:b/>
          <w:bCs/>
        </w:rPr>
        <w:t>factors</w:t>
      </w:r>
      <w:proofErr w:type="spellEnd"/>
      <w:r w:rsidRPr="001844D4">
        <w:rPr>
          <w:b/>
          <w:bCs/>
        </w:rPr>
        <w:t xml:space="preserve"> as </w:t>
      </w:r>
      <w:proofErr w:type="spellStart"/>
      <w:r w:rsidRPr="001844D4">
        <w:rPr>
          <w:b/>
          <w:bCs/>
        </w:rPr>
        <w:t>mediators</w:t>
      </w:r>
      <w:proofErr w:type="spellEnd"/>
      <w:r w:rsidRPr="001844D4">
        <w:rPr>
          <w:b/>
          <w:bCs/>
        </w:rPr>
        <w:t xml:space="preserve"> </w:t>
      </w:r>
      <w:proofErr w:type="spellStart"/>
      <w:r w:rsidRPr="001844D4">
        <w:rPr>
          <w:b/>
          <w:bCs/>
        </w:rPr>
        <w:t>between</w:t>
      </w:r>
      <w:proofErr w:type="spellEnd"/>
      <w:r w:rsidRPr="001844D4">
        <w:rPr>
          <w:b/>
          <w:bCs/>
        </w:rPr>
        <w:t xml:space="preserve"> gastrointestinal </w:t>
      </w:r>
      <w:proofErr w:type="spellStart"/>
      <w:r w:rsidRPr="001844D4">
        <w:rPr>
          <w:b/>
          <w:bCs/>
        </w:rPr>
        <w:t>symptoms</w:t>
      </w:r>
      <w:proofErr w:type="spellEnd"/>
      <w:r w:rsidRPr="001844D4">
        <w:rPr>
          <w:b/>
          <w:bCs/>
        </w:rPr>
        <w:t xml:space="preserve"> and </w:t>
      </w:r>
      <w:proofErr w:type="spellStart"/>
      <w:r w:rsidRPr="001844D4">
        <w:rPr>
          <w:b/>
          <w:bCs/>
        </w:rPr>
        <w:t>disease</w:t>
      </w:r>
      <w:proofErr w:type="spellEnd"/>
      <w:r w:rsidRPr="001844D4">
        <w:rPr>
          <w:b/>
          <w:bCs/>
        </w:rPr>
        <w:t xml:space="preserve"> </w:t>
      </w:r>
      <w:proofErr w:type="spellStart"/>
      <w:r w:rsidRPr="001844D4">
        <w:rPr>
          <w:b/>
          <w:bCs/>
        </w:rPr>
        <w:t>severity</w:t>
      </w:r>
      <w:proofErr w:type="spellEnd"/>
      <w:r w:rsidRPr="001844D4">
        <w:rPr>
          <w:b/>
          <w:bCs/>
        </w:rPr>
        <w:t xml:space="preserve"> in </w:t>
      </w:r>
      <w:proofErr w:type="spellStart"/>
      <w:r w:rsidRPr="001844D4">
        <w:rPr>
          <w:b/>
          <w:bCs/>
        </w:rPr>
        <w:t>chronic</w:t>
      </w:r>
      <w:proofErr w:type="spellEnd"/>
      <w:r w:rsidRPr="001844D4">
        <w:rPr>
          <w:b/>
          <w:bCs/>
        </w:rPr>
        <w:t xml:space="preserve"> </w:t>
      </w:r>
      <w:proofErr w:type="spellStart"/>
      <w:r w:rsidRPr="001844D4">
        <w:rPr>
          <w:b/>
          <w:bCs/>
        </w:rPr>
        <w:t>spontaneous</w:t>
      </w:r>
      <w:proofErr w:type="spellEnd"/>
      <w:r w:rsidRPr="001844D4">
        <w:rPr>
          <w:b/>
          <w:bCs/>
        </w:rPr>
        <w:t xml:space="preserve"> </w:t>
      </w:r>
      <w:proofErr w:type="spellStart"/>
      <w:r w:rsidRPr="001844D4">
        <w:rPr>
          <w:b/>
          <w:bCs/>
        </w:rPr>
        <w:t>urticaria</w:t>
      </w:r>
      <w:proofErr w:type="spellEnd"/>
      <w:r w:rsidRPr="001844D4">
        <w:rPr>
          <w:b/>
          <w:bCs/>
        </w:rPr>
        <w:t xml:space="preserve">. </w:t>
      </w:r>
    </w:p>
    <w:p w14:paraId="7FF2359F" w14:textId="3F9020B8" w:rsidR="00F005C9" w:rsidRPr="001844D4" w:rsidRDefault="00F005C9" w:rsidP="001844D4">
      <w:pPr>
        <w:spacing w:before="100" w:beforeAutospacing="1" w:after="100" w:afterAutospacing="1"/>
        <w:jc w:val="both"/>
      </w:pPr>
      <w:r w:rsidRPr="001844D4">
        <w:t>Liu H, Ma Y, Li X, Zhang L, Qi C, Gao Z, Zeng W, Wang Z.</w:t>
      </w:r>
    </w:p>
    <w:p w14:paraId="29B87AF6" w14:textId="255200E4" w:rsidR="00F005C9" w:rsidRPr="001844D4" w:rsidRDefault="00F005C9" w:rsidP="001844D4">
      <w:pPr>
        <w:spacing w:before="100" w:beforeAutospacing="1" w:after="100" w:afterAutospacing="1"/>
        <w:jc w:val="both"/>
        <w:rPr>
          <w:lang w:val="nl-BE"/>
        </w:rPr>
      </w:pPr>
      <w:r w:rsidRPr="001844D4">
        <w:rPr>
          <w:lang w:val="nl-BE"/>
        </w:rPr>
        <w:t xml:space="preserve">World Allergy Organ J. 2026 </w:t>
      </w:r>
    </w:p>
    <w:p w14:paraId="11A58724" w14:textId="174413CE" w:rsidR="00F005C9" w:rsidRPr="001844D4" w:rsidRDefault="00F005C9" w:rsidP="001844D4">
      <w:pPr>
        <w:spacing w:before="100" w:beforeAutospacing="1" w:after="100" w:afterAutospacing="1"/>
        <w:jc w:val="both"/>
        <w:rPr>
          <w:rFonts w:eastAsia="Times New Roman" w:cs="Times New Roman"/>
          <w:color w:val="101213"/>
          <w:kern w:val="0"/>
          <w:lang w:val="nl-BE" w:eastAsia="fr-FR"/>
          <w14:ligatures w14:val="none"/>
        </w:rPr>
      </w:pPr>
      <w:r w:rsidRPr="001844D4">
        <w:rPr>
          <w:lang w:val="nl-BE"/>
        </w:rPr>
        <w:t>doi: 10.1016/j.waojou.2026.101348.</w:t>
      </w:r>
    </w:p>
    <w:p w14:paraId="6731B462" w14:textId="3A1A6075" w:rsidR="00F005C9" w:rsidRPr="001844D4" w:rsidRDefault="00F005C9" w:rsidP="001844D4">
      <w:pPr>
        <w:pStyle w:val="NormalWeb"/>
        <w:jc w:val="both"/>
        <w:rPr>
          <w:rFonts w:asciiTheme="minorHAnsi" w:hAnsiTheme="minorHAnsi"/>
          <w:color w:val="101213"/>
        </w:rPr>
      </w:pPr>
      <w:r w:rsidRPr="001844D4">
        <w:rPr>
          <w:rStyle w:val="lev"/>
          <w:rFonts w:asciiTheme="minorHAnsi" w:hAnsiTheme="minorHAnsi"/>
          <w:color w:val="101213"/>
        </w:rPr>
        <w:t>Contexte</w:t>
      </w:r>
      <w:r w:rsidRPr="001844D4">
        <w:rPr>
          <w:rStyle w:val="apple-converted-space"/>
          <w:rFonts w:asciiTheme="minorHAnsi" w:hAnsiTheme="minorHAnsi"/>
          <w:color w:val="101213"/>
        </w:rPr>
        <w:t> </w:t>
      </w:r>
      <w:r w:rsidRPr="001844D4">
        <w:rPr>
          <w:rFonts w:asciiTheme="minorHAnsi" w:hAnsiTheme="minorHAnsi"/>
          <w:color w:val="101213"/>
        </w:rPr>
        <w:t>Un dysfonctionnement gastro-intestinal a été associé à la pathogenèse de l’</w:t>
      </w:r>
      <w:r w:rsidR="001844D4" w:rsidRPr="001844D4">
        <w:rPr>
          <w:rFonts w:asciiTheme="minorHAnsi" w:hAnsiTheme="minorHAnsi"/>
          <w:color w:val="101213"/>
        </w:rPr>
        <w:t>UCS</w:t>
      </w:r>
      <w:r w:rsidRPr="001844D4">
        <w:rPr>
          <w:rFonts w:asciiTheme="minorHAnsi" w:hAnsiTheme="minorHAnsi"/>
          <w:color w:val="101213"/>
        </w:rPr>
        <w:t>. Par ailleurs, les lésions persistantes et le prurit dans l’UCS s’accompagnent souvent de troubles du sommeil et de détresse psychologique. Cependant, le rôle médiateur de la qualité du sommeil et des facteurs psychologiques dans la relation entre symptômes gastro-intestinaux et sévérité de l’UCS reste à élucider.</w:t>
      </w:r>
    </w:p>
    <w:p w14:paraId="78E1EF89" w14:textId="4869833A" w:rsidR="00F005C9" w:rsidRPr="001844D4" w:rsidRDefault="00F005C9" w:rsidP="001844D4">
      <w:pPr>
        <w:pStyle w:val="NormalWeb"/>
        <w:jc w:val="both"/>
        <w:rPr>
          <w:rFonts w:asciiTheme="minorHAnsi" w:hAnsiTheme="minorHAnsi"/>
          <w:color w:val="101213"/>
        </w:rPr>
      </w:pPr>
      <w:r w:rsidRPr="001844D4">
        <w:rPr>
          <w:rStyle w:val="lev"/>
          <w:rFonts w:asciiTheme="minorHAnsi" w:hAnsiTheme="minorHAnsi"/>
          <w:color w:val="101213"/>
        </w:rPr>
        <w:t>Méthodes</w:t>
      </w:r>
      <w:r w:rsidRPr="001844D4">
        <w:rPr>
          <w:rStyle w:val="apple-converted-space"/>
          <w:rFonts w:asciiTheme="minorHAnsi" w:hAnsiTheme="minorHAnsi"/>
          <w:color w:val="101213"/>
        </w:rPr>
        <w:t> </w:t>
      </w:r>
      <w:r w:rsidRPr="001844D4">
        <w:rPr>
          <w:rFonts w:asciiTheme="minorHAnsi" w:hAnsiTheme="minorHAnsi"/>
          <w:color w:val="101213"/>
        </w:rPr>
        <w:t>Cette étude a analysé rétrospectivement les données de 499 patients atteints d’UCS. Les associations entre l’activité de la maladie (UAS7) et les symptômes gastro-intestinaux, la qualité du sommeil et l’état psychologique ont été évaluées. Des analyses de médiation ont permis d’examiner si la qualité du sommeil et l’état psychologique jouait un rôle de médiateur dans la relation entre symptômes gastro-intestinaux et activité de la maladie.</w:t>
      </w:r>
    </w:p>
    <w:p w14:paraId="0EAF561B" w14:textId="2CBE013B" w:rsidR="00F005C9" w:rsidRPr="001844D4" w:rsidRDefault="00F005C9" w:rsidP="001844D4">
      <w:pPr>
        <w:pStyle w:val="NormalWeb"/>
        <w:jc w:val="both"/>
        <w:rPr>
          <w:rFonts w:asciiTheme="minorHAnsi" w:hAnsiTheme="minorHAnsi"/>
          <w:color w:val="101213"/>
        </w:rPr>
      </w:pPr>
      <w:r w:rsidRPr="001844D4">
        <w:rPr>
          <w:rStyle w:val="lev"/>
          <w:rFonts w:asciiTheme="minorHAnsi" w:hAnsiTheme="minorHAnsi"/>
          <w:color w:val="101213"/>
        </w:rPr>
        <w:t>Résultats</w:t>
      </w:r>
      <w:r w:rsidRPr="001844D4">
        <w:rPr>
          <w:rStyle w:val="apple-converted-space"/>
          <w:rFonts w:asciiTheme="minorHAnsi" w:hAnsiTheme="minorHAnsi"/>
          <w:color w:val="101213"/>
        </w:rPr>
        <w:t> </w:t>
      </w:r>
      <w:r w:rsidRPr="001844D4">
        <w:rPr>
          <w:rFonts w:asciiTheme="minorHAnsi" w:hAnsiTheme="minorHAnsi"/>
          <w:color w:val="101213"/>
        </w:rPr>
        <w:t>Les symptômes gastro-intestinaux étaient significativement associés à l’activité de l’UCS. Une analyse multivariée a identifié ces symptômes comme facteur de risque indépendant d’aggravation de l’UCS (OR ajusté = 1,85 ; IC 95 % : 1,23–2,78). Parmi les symptômes gastro-intestinaux, la diarrhée et les douleurs abdominales présentaient les corrélations les plus fortes. Les analyses de médiation ont révélé une médiation partielle par les facteurs psychologiques, avec des contributions significatives des troubles du sommeil (13,17 %), de l’anxiété (17,28 %) et du stress (21,09 %).</w:t>
      </w:r>
    </w:p>
    <w:p w14:paraId="7786FC88" w14:textId="22CFE86D" w:rsidR="00F005C9" w:rsidRPr="001844D4" w:rsidRDefault="00F005C9" w:rsidP="001844D4">
      <w:pPr>
        <w:pStyle w:val="NormalWeb"/>
        <w:jc w:val="both"/>
        <w:rPr>
          <w:rFonts w:asciiTheme="minorHAnsi" w:hAnsiTheme="minorHAnsi"/>
          <w:color w:val="101213"/>
        </w:rPr>
      </w:pPr>
      <w:r w:rsidRPr="001844D4">
        <w:rPr>
          <w:rStyle w:val="lev"/>
          <w:rFonts w:asciiTheme="minorHAnsi" w:hAnsiTheme="minorHAnsi"/>
          <w:color w:val="101213"/>
        </w:rPr>
        <w:t>Conclusion</w:t>
      </w:r>
      <w:r w:rsidRPr="001844D4">
        <w:rPr>
          <w:rStyle w:val="apple-converted-space"/>
          <w:rFonts w:asciiTheme="minorHAnsi" w:hAnsiTheme="minorHAnsi"/>
          <w:color w:val="101213"/>
        </w:rPr>
        <w:t> </w:t>
      </w:r>
      <w:r w:rsidRPr="001844D4">
        <w:rPr>
          <w:rFonts w:asciiTheme="minorHAnsi" w:hAnsiTheme="minorHAnsi"/>
          <w:color w:val="101213"/>
        </w:rPr>
        <w:t>Les symptômes gastro-intestinaux sont indépendamment associés à une augmentation de l’activité de l’UCS. Cette relation est partiellement médiée par les troubles du sommeil, l’anxiété et le stress, soulignant l’importance de l’axe intestin-cerveau-peau dans la prise en charge de l’UCS.</w:t>
      </w:r>
    </w:p>
    <w:p w14:paraId="1E0D0794" w14:textId="1683F3D0" w:rsidR="00F005C9" w:rsidRPr="001844D4" w:rsidRDefault="00F005C9"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lastRenderedPageBreak/>
        <w:t xml:space="preserve">Remarque : Les troubles digestifs sont des plaintes fréquentes des patients atteints d’UCS. Cette article étudie les liens de médiations avec des facteurs psychologiques. </w:t>
      </w:r>
    </w:p>
    <w:p w14:paraId="16421908" w14:textId="77777777" w:rsidR="00F005C9" w:rsidRPr="001844D4" w:rsidRDefault="00F005C9" w:rsidP="001844D4">
      <w:pPr>
        <w:spacing w:before="100" w:beforeAutospacing="1" w:after="100" w:afterAutospacing="1"/>
        <w:jc w:val="both"/>
        <w:rPr>
          <w:rFonts w:eastAsia="Times New Roman" w:cs="Times New Roman"/>
          <w:b/>
          <w:bCs/>
          <w:color w:val="101213"/>
          <w:kern w:val="0"/>
          <w:lang w:eastAsia="fr-FR"/>
          <w14:ligatures w14:val="none"/>
        </w:rPr>
      </w:pPr>
    </w:p>
    <w:p w14:paraId="4367F37E" w14:textId="77777777" w:rsidR="00F005C9" w:rsidRPr="001844D4" w:rsidRDefault="00F005C9" w:rsidP="001844D4">
      <w:pPr>
        <w:spacing w:before="100" w:beforeAutospacing="1" w:after="100" w:afterAutospacing="1"/>
        <w:jc w:val="both"/>
        <w:rPr>
          <w:b/>
          <w:bCs/>
        </w:rPr>
      </w:pPr>
      <w:proofErr w:type="spellStart"/>
      <w:r w:rsidRPr="001844D4">
        <w:rPr>
          <w:b/>
          <w:bCs/>
        </w:rPr>
        <w:t>Heterogeneity</w:t>
      </w:r>
      <w:proofErr w:type="spellEnd"/>
      <w:r w:rsidRPr="001844D4">
        <w:rPr>
          <w:b/>
          <w:bCs/>
        </w:rPr>
        <w:t xml:space="preserve"> in </w:t>
      </w:r>
      <w:proofErr w:type="spellStart"/>
      <w:r w:rsidRPr="001844D4">
        <w:rPr>
          <w:b/>
          <w:bCs/>
        </w:rPr>
        <w:t>clinical</w:t>
      </w:r>
      <w:proofErr w:type="spellEnd"/>
      <w:r w:rsidRPr="001844D4">
        <w:rPr>
          <w:b/>
          <w:bCs/>
        </w:rPr>
        <w:t xml:space="preserve"> </w:t>
      </w:r>
      <w:proofErr w:type="spellStart"/>
      <w:r w:rsidRPr="001844D4">
        <w:rPr>
          <w:b/>
          <w:bCs/>
        </w:rPr>
        <w:t>appearance</w:t>
      </w:r>
      <w:proofErr w:type="spellEnd"/>
      <w:r w:rsidRPr="001844D4">
        <w:rPr>
          <w:b/>
          <w:bCs/>
        </w:rPr>
        <w:t xml:space="preserve"> of </w:t>
      </w:r>
      <w:proofErr w:type="spellStart"/>
      <w:r w:rsidRPr="001844D4">
        <w:rPr>
          <w:b/>
          <w:bCs/>
        </w:rPr>
        <w:t>chronic</w:t>
      </w:r>
      <w:proofErr w:type="spellEnd"/>
      <w:r w:rsidRPr="001844D4">
        <w:rPr>
          <w:b/>
          <w:bCs/>
        </w:rPr>
        <w:t xml:space="preserve"> </w:t>
      </w:r>
      <w:proofErr w:type="spellStart"/>
      <w:r w:rsidRPr="001844D4">
        <w:rPr>
          <w:b/>
          <w:bCs/>
        </w:rPr>
        <w:t>spontaneous</w:t>
      </w:r>
      <w:proofErr w:type="spellEnd"/>
      <w:r w:rsidRPr="001844D4">
        <w:rPr>
          <w:b/>
          <w:bCs/>
        </w:rPr>
        <w:t xml:space="preserve"> </w:t>
      </w:r>
      <w:proofErr w:type="spellStart"/>
      <w:r w:rsidRPr="001844D4">
        <w:rPr>
          <w:b/>
          <w:bCs/>
        </w:rPr>
        <w:t>urticaria</w:t>
      </w:r>
      <w:proofErr w:type="spellEnd"/>
      <w:r w:rsidRPr="001844D4">
        <w:rPr>
          <w:b/>
          <w:bCs/>
        </w:rPr>
        <w:t xml:space="preserve">: A cross-sectional </w:t>
      </w:r>
      <w:proofErr w:type="spellStart"/>
      <w:r w:rsidRPr="001844D4">
        <w:rPr>
          <w:b/>
          <w:bCs/>
        </w:rPr>
        <w:t>analysis</w:t>
      </w:r>
      <w:proofErr w:type="spellEnd"/>
      <w:r w:rsidRPr="001844D4">
        <w:rPr>
          <w:b/>
          <w:bCs/>
        </w:rPr>
        <w:t xml:space="preserve"> of a </w:t>
      </w:r>
      <w:proofErr w:type="spellStart"/>
      <w:r w:rsidRPr="001844D4">
        <w:rPr>
          <w:b/>
          <w:bCs/>
        </w:rPr>
        <w:t>retrospective</w:t>
      </w:r>
      <w:proofErr w:type="spellEnd"/>
      <w:r w:rsidRPr="001844D4">
        <w:rPr>
          <w:b/>
          <w:bCs/>
        </w:rPr>
        <w:t xml:space="preserve"> </w:t>
      </w:r>
      <w:proofErr w:type="spellStart"/>
      <w:r w:rsidRPr="001844D4">
        <w:rPr>
          <w:b/>
          <w:bCs/>
        </w:rPr>
        <w:t>cohort</w:t>
      </w:r>
      <w:proofErr w:type="spellEnd"/>
      <w:r w:rsidRPr="001844D4">
        <w:rPr>
          <w:b/>
          <w:bCs/>
        </w:rPr>
        <w:t>.</w:t>
      </w:r>
    </w:p>
    <w:p w14:paraId="251B7F92" w14:textId="2AF9BAF7" w:rsidR="00F005C9" w:rsidRPr="001844D4" w:rsidRDefault="00F005C9" w:rsidP="001844D4">
      <w:pPr>
        <w:spacing w:before="100" w:beforeAutospacing="1" w:after="100" w:afterAutospacing="1"/>
        <w:jc w:val="both"/>
      </w:pPr>
      <w:proofErr w:type="spellStart"/>
      <w:r w:rsidRPr="001844D4">
        <w:t>Toprak</w:t>
      </w:r>
      <w:proofErr w:type="spellEnd"/>
      <w:r w:rsidRPr="001844D4">
        <w:t xml:space="preserve"> İD, Celik </w:t>
      </w:r>
      <w:proofErr w:type="spellStart"/>
      <w:r w:rsidRPr="001844D4">
        <w:t>Kamaci</w:t>
      </w:r>
      <w:proofErr w:type="spellEnd"/>
      <w:r w:rsidRPr="001844D4">
        <w:t xml:space="preserve"> S, </w:t>
      </w:r>
      <w:proofErr w:type="spellStart"/>
      <w:r w:rsidRPr="001844D4">
        <w:t>Hormet</w:t>
      </w:r>
      <w:proofErr w:type="spellEnd"/>
      <w:r w:rsidRPr="001844D4">
        <w:t xml:space="preserve"> </w:t>
      </w:r>
      <w:proofErr w:type="spellStart"/>
      <w:r w:rsidRPr="001844D4">
        <w:t>Igde</w:t>
      </w:r>
      <w:proofErr w:type="spellEnd"/>
      <w:r w:rsidRPr="001844D4">
        <w:t xml:space="preserve"> M, </w:t>
      </w:r>
      <w:proofErr w:type="spellStart"/>
      <w:r w:rsidRPr="001844D4">
        <w:t>Korkmaz</w:t>
      </w:r>
      <w:proofErr w:type="spellEnd"/>
      <w:r w:rsidRPr="001844D4">
        <w:t xml:space="preserve"> P, </w:t>
      </w:r>
      <w:proofErr w:type="spellStart"/>
      <w:r w:rsidRPr="001844D4">
        <w:t>Kahveci</w:t>
      </w:r>
      <w:proofErr w:type="spellEnd"/>
      <w:r w:rsidRPr="001844D4">
        <w:t xml:space="preserve"> N, </w:t>
      </w:r>
      <w:proofErr w:type="spellStart"/>
      <w:r w:rsidRPr="001844D4">
        <w:t>Eyice</w:t>
      </w:r>
      <w:proofErr w:type="spellEnd"/>
      <w:r w:rsidRPr="001844D4">
        <w:t xml:space="preserve"> </w:t>
      </w:r>
      <w:proofErr w:type="spellStart"/>
      <w:r w:rsidRPr="001844D4">
        <w:t>Karabacak</w:t>
      </w:r>
      <w:proofErr w:type="spellEnd"/>
      <w:r w:rsidRPr="001844D4">
        <w:t xml:space="preserve"> D, </w:t>
      </w:r>
      <w:proofErr w:type="spellStart"/>
      <w:r w:rsidRPr="001844D4">
        <w:t>Yegit</w:t>
      </w:r>
      <w:proofErr w:type="spellEnd"/>
      <w:r w:rsidRPr="001844D4">
        <w:t xml:space="preserve"> OO, </w:t>
      </w:r>
      <w:proofErr w:type="spellStart"/>
      <w:r w:rsidRPr="001844D4">
        <w:t>Unal</w:t>
      </w:r>
      <w:proofErr w:type="spellEnd"/>
      <w:r w:rsidRPr="001844D4">
        <w:t xml:space="preserve"> D, Demir S, </w:t>
      </w:r>
      <w:proofErr w:type="spellStart"/>
      <w:r w:rsidRPr="001844D4">
        <w:t>Gelincik</w:t>
      </w:r>
      <w:proofErr w:type="spellEnd"/>
      <w:r w:rsidRPr="001844D4">
        <w:t xml:space="preserve"> A.</w:t>
      </w:r>
    </w:p>
    <w:p w14:paraId="068D1E64" w14:textId="77777777" w:rsidR="001844D4" w:rsidRPr="001844D4" w:rsidRDefault="00F005C9" w:rsidP="001844D4">
      <w:pPr>
        <w:spacing w:before="100" w:beforeAutospacing="1" w:after="100" w:afterAutospacing="1"/>
        <w:jc w:val="both"/>
        <w:rPr>
          <w:lang w:val="nl-BE"/>
        </w:rPr>
      </w:pPr>
      <w:r w:rsidRPr="001844D4">
        <w:t xml:space="preserve"> </w:t>
      </w:r>
      <w:r w:rsidRPr="001844D4">
        <w:rPr>
          <w:lang w:val="nl-BE"/>
        </w:rPr>
        <w:t xml:space="preserve">World Allergy Organ J. 2026 </w:t>
      </w:r>
    </w:p>
    <w:p w14:paraId="4B67CFE7" w14:textId="3D2D1BB7" w:rsidR="00F005C9" w:rsidRPr="001844D4" w:rsidRDefault="001844D4" w:rsidP="001844D4">
      <w:pPr>
        <w:spacing w:before="100" w:beforeAutospacing="1" w:after="100" w:afterAutospacing="1"/>
        <w:jc w:val="both"/>
        <w:rPr>
          <w:lang w:val="nl-BE"/>
        </w:rPr>
      </w:pPr>
      <w:r w:rsidRPr="001844D4">
        <w:rPr>
          <w:lang w:val="nl-BE"/>
        </w:rPr>
        <w:t>D</w:t>
      </w:r>
      <w:r w:rsidR="00F005C9" w:rsidRPr="001844D4">
        <w:rPr>
          <w:lang w:val="nl-BE"/>
        </w:rPr>
        <w:t>oi</w:t>
      </w:r>
      <w:r w:rsidRPr="001844D4">
        <w:rPr>
          <w:lang w:val="nl-BE"/>
        </w:rPr>
        <w:t>:</w:t>
      </w:r>
      <w:r w:rsidR="00F005C9" w:rsidRPr="001844D4">
        <w:rPr>
          <w:lang w:val="nl-BE"/>
        </w:rPr>
        <w:t xml:space="preserve"> 10.1016/j.waojou.2026.101353.</w:t>
      </w:r>
    </w:p>
    <w:p w14:paraId="5C543E06" w14:textId="44CDE107" w:rsidR="00F005C9" w:rsidRPr="001844D4" w:rsidRDefault="00F005C9"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Objectif</w:t>
      </w:r>
      <w:r w:rsidR="001844D4" w:rsidRPr="001844D4">
        <w:rPr>
          <w:rFonts w:eastAsia="Times New Roman" w:cs="Times New Roman"/>
          <w:b/>
          <w:bCs/>
          <w:color w:val="101213"/>
          <w:kern w:val="0"/>
          <w:lang w:eastAsia="fr-FR"/>
          <w14:ligatures w14:val="none"/>
        </w:rPr>
        <w:t> :</w:t>
      </w:r>
      <w:r w:rsidRPr="001844D4">
        <w:rPr>
          <w:rFonts w:eastAsia="Times New Roman" w:cs="Times New Roman"/>
          <w:color w:val="101213"/>
          <w:kern w:val="0"/>
          <w:lang w:eastAsia="fr-FR"/>
          <w14:ligatures w14:val="none"/>
        </w:rPr>
        <w:t> Analyser les caractéristiques des sous-types d’urticaire spontanée chronique (UCS) et identifier les facteurs influençant la réponse au traitement.</w:t>
      </w:r>
    </w:p>
    <w:p w14:paraId="26DC5921" w14:textId="625C804A" w:rsidR="00F005C9" w:rsidRPr="001844D4" w:rsidRDefault="00F005C9"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Méthodes</w:t>
      </w:r>
      <w:r w:rsidR="001844D4" w:rsidRPr="001844D4">
        <w:rPr>
          <w:rFonts w:eastAsia="Times New Roman" w:cs="Times New Roman"/>
          <w:b/>
          <w:bCs/>
          <w:color w:val="101213"/>
          <w:kern w:val="0"/>
          <w:lang w:eastAsia="fr-FR"/>
          <w14:ligatures w14:val="none"/>
        </w:rPr>
        <w:t> :</w:t>
      </w:r>
      <w:r w:rsidRPr="001844D4">
        <w:rPr>
          <w:rFonts w:eastAsia="Times New Roman" w:cs="Times New Roman"/>
          <w:color w:val="101213"/>
          <w:kern w:val="0"/>
          <w:lang w:eastAsia="fr-FR"/>
          <w14:ligatures w14:val="none"/>
        </w:rPr>
        <w:t> Comparaison des caractéristiques cliniques et biologiques de patients UCS répartis en 3 groupes :</w:t>
      </w:r>
    </w:p>
    <w:p w14:paraId="6E53FE82" w14:textId="1620494C" w:rsidR="00F005C9" w:rsidRPr="001844D4" w:rsidRDefault="00F005C9" w:rsidP="001844D4">
      <w:pPr>
        <w:numPr>
          <w:ilvl w:val="0"/>
          <w:numId w:val="3"/>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 xml:space="preserve">Urticaire isolée (UCS sans </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w:t>
      </w:r>
      <w:proofErr w:type="spellStart"/>
      <w:r w:rsidRPr="001844D4">
        <w:rPr>
          <w:rFonts w:eastAsia="Times New Roman" w:cs="Times New Roman"/>
          <w:i/>
          <w:iCs/>
          <w:color w:val="101213"/>
          <w:kern w:val="0"/>
          <w:lang w:eastAsia="fr-FR"/>
          <w14:ligatures w14:val="none"/>
        </w:rPr>
        <w:t>CSUwoAE</w:t>
      </w:r>
      <w:proofErr w:type="spellEnd"/>
      <w:r w:rsidRPr="001844D4">
        <w:rPr>
          <w:rFonts w:eastAsia="Times New Roman" w:cs="Times New Roman"/>
          <w:color w:val="101213"/>
          <w:kern w:val="0"/>
          <w:lang w:eastAsia="fr-FR"/>
          <w14:ligatures w14:val="none"/>
        </w:rPr>
        <w:t> : n = 50, 27,93 %),</w:t>
      </w:r>
    </w:p>
    <w:p w14:paraId="2757B1EC" w14:textId="77777777" w:rsidR="00F005C9" w:rsidRPr="001844D4" w:rsidRDefault="00F005C9" w:rsidP="001844D4">
      <w:pPr>
        <w:numPr>
          <w:ilvl w:val="0"/>
          <w:numId w:val="3"/>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 xml:space="preserve">Urticaire + </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w:t>
      </w:r>
      <w:proofErr w:type="spellStart"/>
      <w:r w:rsidRPr="001844D4">
        <w:rPr>
          <w:rFonts w:eastAsia="Times New Roman" w:cs="Times New Roman"/>
          <w:i/>
          <w:iCs/>
          <w:color w:val="101213"/>
          <w:kern w:val="0"/>
          <w:lang w:eastAsia="fr-FR"/>
          <w14:ligatures w14:val="none"/>
        </w:rPr>
        <w:t>CSUwAE</w:t>
      </w:r>
      <w:proofErr w:type="spellEnd"/>
      <w:r w:rsidRPr="001844D4">
        <w:rPr>
          <w:rFonts w:eastAsia="Times New Roman" w:cs="Times New Roman"/>
          <w:color w:val="101213"/>
          <w:kern w:val="0"/>
          <w:lang w:eastAsia="fr-FR"/>
          <w14:ligatures w14:val="none"/>
        </w:rPr>
        <w:t> : n = 86, 48,04 %),</w:t>
      </w:r>
    </w:p>
    <w:p w14:paraId="31110ACF" w14:textId="77777777" w:rsidR="00F005C9" w:rsidRPr="001844D4" w:rsidRDefault="00F005C9" w:rsidP="001844D4">
      <w:pPr>
        <w:numPr>
          <w:ilvl w:val="0"/>
          <w:numId w:val="3"/>
        </w:numPr>
        <w:spacing w:before="100" w:beforeAutospacing="1" w:after="100" w:afterAutospacing="1"/>
        <w:jc w:val="both"/>
        <w:rPr>
          <w:rFonts w:eastAsia="Times New Roman" w:cs="Times New Roman"/>
          <w:color w:val="101213"/>
          <w:kern w:val="0"/>
          <w:lang w:eastAsia="fr-FR"/>
          <w14:ligatures w14:val="none"/>
        </w:rPr>
      </w:pP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isolé (ou </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histaminique chronique,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 xml:space="preserve"> : n = 43, 24,02 %). </w:t>
      </w:r>
    </w:p>
    <w:p w14:paraId="4FAC02E0" w14:textId="77777777" w:rsidR="00F005C9" w:rsidRPr="001844D4" w:rsidRDefault="00F005C9"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Résultats</w:t>
      </w:r>
    </w:p>
    <w:p w14:paraId="667E561E" w14:textId="77777777" w:rsidR="00F005C9" w:rsidRPr="001844D4" w:rsidRDefault="00F005C9" w:rsidP="001844D4">
      <w:pPr>
        <w:numPr>
          <w:ilvl w:val="0"/>
          <w:numId w:val="4"/>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Âge de début plus élevé dans le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 que dans le </w:t>
      </w:r>
      <w:proofErr w:type="spellStart"/>
      <w:r w:rsidRPr="001844D4">
        <w:rPr>
          <w:rFonts w:eastAsia="Times New Roman" w:cs="Times New Roman"/>
          <w:i/>
          <w:iCs/>
          <w:color w:val="101213"/>
          <w:kern w:val="0"/>
          <w:lang w:eastAsia="fr-FR"/>
          <w14:ligatures w14:val="none"/>
        </w:rPr>
        <w:t>CSUwAE</w:t>
      </w:r>
      <w:proofErr w:type="spellEnd"/>
      <w:r w:rsidRPr="001844D4">
        <w:rPr>
          <w:rFonts w:eastAsia="Times New Roman" w:cs="Times New Roman"/>
          <w:color w:val="101213"/>
          <w:kern w:val="0"/>
          <w:lang w:eastAsia="fr-FR"/>
          <w14:ligatures w14:val="none"/>
        </w:rPr>
        <w:t> (p &lt; 0,001).</w:t>
      </w:r>
    </w:p>
    <w:p w14:paraId="17BAB636" w14:textId="77777777" w:rsidR="00F005C9" w:rsidRPr="001844D4" w:rsidRDefault="00F005C9" w:rsidP="001844D4">
      <w:pPr>
        <w:numPr>
          <w:ilvl w:val="0"/>
          <w:numId w:val="4"/>
        </w:numPr>
        <w:spacing w:before="100" w:beforeAutospacing="1" w:after="100" w:afterAutospacing="1"/>
        <w:jc w:val="both"/>
        <w:rPr>
          <w:rFonts w:eastAsia="Times New Roman" w:cs="Times New Roman"/>
          <w:color w:val="101213"/>
          <w:kern w:val="0"/>
          <w:lang w:eastAsia="fr-FR"/>
          <w14:ligatures w14:val="none"/>
        </w:rPr>
      </w:pP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oropharyngé plus fréquent dans le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 (p = 0,022), tandis que l’</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des paupières prédominait dans le </w:t>
      </w:r>
      <w:proofErr w:type="spellStart"/>
      <w:r w:rsidRPr="001844D4">
        <w:rPr>
          <w:rFonts w:eastAsia="Times New Roman" w:cs="Times New Roman"/>
          <w:i/>
          <w:iCs/>
          <w:color w:val="101213"/>
          <w:kern w:val="0"/>
          <w:lang w:eastAsia="fr-FR"/>
          <w14:ligatures w14:val="none"/>
        </w:rPr>
        <w:t>CSUwAE</w:t>
      </w:r>
      <w:proofErr w:type="spellEnd"/>
      <w:r w:rsidRPr="001844D4">
        <w:rPr>
          <w:rFonts w:eastAsia="Times New Roman" w:cs="Times New Roman"/>
          <w:color w:val="101213"/>
          <w:kern w:val="0"/>
          <w:lang w:eastAsia="fr-FR"/>
          <w14:ligatures w14:val="none"/>
        </w:rPr>
        <w:t> (p = 0,001).</w:t>
      </w:r>
    </w:p>
    <w:p w14:paraId="70ECEC03" w14:textId="34141196" w:rsidR="00F005C9" w:rsidRPr="001844D4" w:rsidRDefault="00F005C9" w:rsidP="001844D4">
      <w:pPr>
        <w:numPr>
          <w:ilvl w:val="0"/>
          <w:numId w:val="4"/>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Qualité de vie plus altérée et contrôle de la maladie moins bon dans le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w:t>
      </w:r>
    </w:p>
    <w:p w14:paraId="4C272A59" w14:textId="6FA8B6C2" w:rsidR="00F005C9" w:rsidRPr="001844D4" w:rsidRDefault="00F005C9" w:rsidP="001844D4">
      <w:pPr>
        <w:numPr>
          <w:ilvl w:val="0"/>
          <w:numId w:val="4"/>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Réponse aux antihistaminiques à haute dose moins fréquente dans le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 (12,5 %) que dans le </w:t>
      </w:r>
      <w:proofErr w:type="spellStart"/>
      <w:r w:rsidRPr="001844D4">
        <w:rPr>
          <w:rFonts w:eastAsia="Times New Roman" w:cs="Times New Roman"/>
          <w:i/>
          <w:iCs/>
          <w:color w:val="101213"/>
          <w:kern w:val="0"/>
          <w:lang w:eastAsia="fr-FR"/>
          <w14:ligatures w14:val="none"/>
        </w:rPr>
        <w:t>CSUwAE</w:t>
      </w:r>
      <w:proofErr w:type="spellEnd"/>
      <w:r w:rsidRPr="001844D4">
        <w:rPr>
          <w:rFonts w:eastAsia="Times New Roman" w:cs="Times New Roman"/>
          <w:i/>
          <w:iCs/>
          <w:color w:val="101213"/>
          <w:kern w:val="0"/>
          <w:lang w:eastAsia="fr-FR"/>
          <w14:ligatures w14:val="none"/>
        </w:rPr>
        <w:t xml:space="preserve"> </w:t>
      </w:r>
      <w:r w:rsidRPr="001844D4">
        <w:rPr>
          <w:rFonts w:eastAsia="Times New Roman" w:cs="Times New Roman"/>
          <w:color w:val="101213"/>
          <w:kern w:val="0"/>
          <w:lang w:eastAsia="fr-FR"/>
          <w14:ligatures w14:val="none"/>
        </w:rPr>
        <w:t>(66,7 % ; p = 0,027).</w:t>
      </w:r>
    </w:p>
    <w:p w14:paraId="15906A88" w14:textId="77777777" w:rsidR="00F005C9" w:rsidRPr="001844D4" w:rsidRDefault="00F005C9" w:rsidP="001844D4">
      <w:pPr>
        <w:numPr>
          <w:ilvl w:val="0"/>
          <w:numId w:val="4"/>
        </w:num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color w:val="101213"/>
          <w:kern w:val="0"/>
          <w:lang w:eastAsia="fr-FR"/>
          <w14:ligatures w14:val="none"/>
        </w:rPr>
        <w:t>Réponse à l’</w:t>
      </w:r>
      <w:proofErr w:type="spellStart"/>
      <w:r w:rsidRPr="001844D4">
        <w:rPr>
          <w:rFonts w:eastAsia="Times New Roman" w:cs="Times New Roman"/>
          <w:color w:val="101213"/>
          <w:kern w:val="0"/>
          <w:lang w:eastAsia="fr-FR"/>
          <w14:ligatures w14:val="none"/>
        </w:rPr>
        <w:t>omalizumab</w:t>
      </w:r>
      <w:proofErr w:type="spellEnd"/>
      <w:r w:rsidRPr="001844D4">
        <w:rPr>
          <w:rFonts w:eastAsia="Times New Roman" w:cs="Times New Roman"/>
          <w:color w:val="101213"/>
          <w:kern w:val="0"/>
          <w:lang w:eastAsia="fr-FR"/>
          <w14:ligatures w14:val="none"/>
        </w:rPr>
        <w:t xml:space="preserve"> variable selon l’IMC chez les patients avec </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xml:space="preserve"> (n = 51 ; p = 0,002), avec une efficacité réduite chez les obèses (p = 0,033).</w:t>
      </w:r>
    </w:p>
    <w:p w14:paraId="6053A0D9" w14:textId="3A81D569" w:rsidR="00F005C9" w:rsidRPr="001844D4" w:rsidRDefault="00F005C9" w:rsidP="001844D4">
      <w:pPr>
        <w:spacing w:before="100" w:beforeAutospacing="1" w:after="100" w:afterAutospacing="1"/>
        <w:jc w:val="both"/>
        <w:rPr>
          <w:rFonts w:eastAsia="Times New Roman" w:cs="Times New Roman"/>
          <w:color w:val="101213"/>
          <w:kern w:val="0"/>
          <w:lang w:eastAsia="fr-FR"/>
          <w14:ligatures w14:val="none"/>
        </w:rPr>
      </w:pPr>
      <w:r w:rsidRPr="001844D4">
        <w:rPr>
          <w:rFonts w:eastAsia="Times New Roman" w:cs="Times New Roman"/>
          <w:b/>
          <w:bCs/>
          <w:color w:val="101213"/>
          <w:kern w:val="0"/>
          <w:lang w:eastAsia="fr-FR"/>
          <w14:ligatures w14:val="none"/>
        </w:rPr>
        <w:t>Conclusion</w:t>
      </w:r>
      <w:r w:rsidRPr="001844D4">
        <w:rPr>
          <w:rFonts w:eastAsia="Times New Roman" w:cs="Times New Roman"/>
          <w:color w:val="101213"/>
          <w:kern w:val="0"/>
          <w:lang w:eastAsia="fr-FR"/>
          <w14:ligatures w14:val="none"/>
        </w:rPr>
        <w:t> L’obésité semble associée à un âge de début plus tardif de l’UCS et à une moindre réponse à l’</w:t>
      </w:r>
      <w:proofErr w:type="spellStart"/>
      <w:r w:rsidRPr="001844D4">
        <w:rPr>
          <w:rFonts w:eastAsia="Times New Roman" w:cs="Times New Roman"/>
          <w:color w:val="101213"/>
          <w:kern w:val="0"/>
          <w:lang w:eastAsia="fr-FR"/>
          <w14:ligatures w14:val="none"/>
        </w:rPr>
        <w:t>omalizumab</w:t>
      </w:r>
      <w:proofErr w:type="spellEnd"/>
      <w:r w:rsidRPr="001844D4">
        <w:rPr>
          <w:rFonts w:eastAsia="Times New Roman" w:cs="Times New Roman"/>
          <w:color w:val="101213"/>
          <w:kern w:val="0"/>
          <w:lang w:eastAsia="fr-FR"/>
          <w14:ligatures w14:val="none"/>
        </w:rPr>
        <w:t xml:space="preserve"> en cas d’</w:t>
      </w:r>
      <w:proofErr w:type="spellStart"/>
      <w:r w:rsidRPr="001844D4">
        <w:rPr>
          <w:rFonts w:eastAsia="Times New Roman" w:cs="Times New Roman"/>
          <w:color w:val="101213"/>
          <w:kern w:val="0"/>
          <w:lang w:eastAsia="fr-FR"/>
          <w14:ligatures w14:val="none"/>
        </w:rPr>
        <w:t>angio-œdème</w:t>
      </w:r>
      <w:proofErr w:type="spellEnd"/>
      <w:r w:rsidRPr="001844D4">
        <w:rPr>
          <w:rFonts w:eastAsia="Times New Roman" w:cs="Times New Roman"/>
          <w:color w:val="101213"/>
          <w:kern w:val="0"/>
          <w:lang w:eastAsia="fr-FR"/>
          <w14:ligatures w14:val="none"/>
        </w:rPr>
        <w:t>, sans lien de causalité établi. Les patients </w:t>
      </w:r>
      <w:r w:rsidRPr="001844D4">
        <w:rPr>
          <w:rFonts w:eastAsia="Times New Roman" w:cs="Times New Roman"/>
          <w:i/>
          <w:iCs/>
          <w:color w:val="101213"/>
          <w:kern w:val="0"/>
          <w:lang w:eastAsia="fr-FR"/>
          <w14:ligatures w14:val="none"/>
        </w:rPr>
        <w:t>CHA</w:t>
      </w:r>
      <w:r w:rsidRPr="001844D4">
        <w:rPr>
          <w:rFonts w:eastAsia="Times New Roman" w:cs="Times New Roman"/>
          <w:color w:val="101213"/>
          <w:kern w:val="0"/>
          <w:lang w:eastAsia="fr-FR"/>
          <w14:ligatures w14:val="none"/>
        </w:rPr>
        <w:t> présentent une qualité de vie plus altérée et un contrôle de la maladie moins bon que ceux atteints de </w:t>
      </w:r>
      <w:proofErr w:type="spellStart"/>
      <w:r w:rsidRPr="001844D4">
        <w:rPr>
          <w:rFonts w:eastAsia="Times New Roman" w:cs="Times New Roman"/>
          <w:i/>
          <w:iCs/>
          <w:color w:val="101213"/>
          <w:kern w:val="0"/>
          <w:lang w:eastAsia="fr-FR"/>
          <w14:ligatures w14:val="none"/>
        </w:rPr>
        <w:t>CSUwAE</w:t>
      </w:r>
      <w:proofErr w:type="spellEnd"/>
      <w:r w:rsidRPr="001844D4">
        <w:rPr>
          <w:rFonts w:eastAsia="Times New Roman" w:cs="Times New Roman"/>
          <w:color w:val="101213"/>
          <w:kern w:val="0"/>
          <w:lang w:eastAsia="fr-FR"/>
          <w14:ligatures w14:val="none"/>
        </w:rPr>
        <w:t>.</w:t>
      </w:r>
    </w:p>
    <w:p w14:paraId="4CBAE48C" w14:textId="77777777" w:rsidR="004B36DD" w:rsidRDefault="004B36DD" w:rsidP="001844D4">
      <w:pPr>
        <w:spacing w:before="100" w:beforeAutospacing="1" w:after="100" w:afterAutospacing="1"/>
        <w:jc w:val="both"/>
      </w:pPr>
    </w:p>
    <w:p w14:paraId="0D7B4A06" w14:textId="77777777" w:rsidR="00C161EE" w:rsidRDefault="00C161EE" w:rsidP="001844D4">
      <w:pPr>
        <w:spacing w:before="100" w:beforeAutospacing="1" w:after="100" w:afterAutospacing="1"/>
        <w:jc w:val="both"/>
      </w:pPr>
    </w:p>
    <w:p w14:paraId="489A06E8" w14:textId="77777777" w:rsidR="00C161EE" w:rsidRPr="001844D4" w:rsidRDefault="00C161EE" w:rsidP="001844D4">
      <w:pPr>
        <w:spacing w:before="100" w:beforeAutospacing="1" w:after="100" w:afterAutospacing="1"/>
        <w:jc w:val="both"/>
      </w:pPr>
    </w:p>
    <w:p w14:paraId="2EB2E769" w14:textId="77777777" w:rsidR="004B36DD" w:rsidRPr="001844D4" w:rsidRDefault="004B36DD" w:rsidP="001844D4">
      <w:pPr>
        <w:spacing w:before="100" w:beforeAutospacing="1" w:after="100" w:afterAutospacing="1"/>
        <w:jc w:val="both"/>
        <w:rPr>
          <w:b/>
          <w:bCs/>
        </w:rPr>
      </w:pPr>
      <w:proofErr w:type="spellStart"/>
      <w:r w:rsidRPr="001844D4">
        <w:rPr>
          <w:b/>
          <w:bCs/>
        </w:rPr>
        <w:lastRenderedPageBreak/>
        <w:t>Rebound</w:t>
      </w:r>
      <w:proofErr w:type="spellEnd"/>
      <w:r w:rsidRPr="001844D4">
        <w:rPr>
          <w:b/>
          <w:bCs/>
        </w:rPr>
        <w:t xml:space="preserve"> </w:t>
      </w:r>
      <w:proofErr w:type="spellStart"/>
      <w:r w:rsidRPr="001844D4">
        <w:rPr>
          <w:b/>
          <w:bCs/>
        </w:rPr>
        <w:t>Pruritus</w:t>
      </w:r>
      <w:proofErr w:type="spellEnd"/>
      <w:r w:rsidRPr="001844D4">
        <w:rPr>
          <w:b/>
          <w:bCs/>
        </w:rPr>
        <w:t xml:space="preserve"> and </w:t>
      </w:r>
      <w:proofErr w:type="spellStart"/>
      <w:r w:rsidRPr="001844D4">
        <w:rPr>
          <w:b/>
          <w:bCs/>
        </w:rPr>
        <w:t>Urticaria</w:t>
      </w:r>
      <w:proofErr w:type="spellEnd"/>
      <w:r w:rsidRPr="001844D4">
        <w:rPr>
          <w:b/>
          <w:bCs/>
        </w:rPr>
        <w:t xml:space="preserve"> </w:t>
      </w:r>
      <w:proofErr w:type="spellStart"/>
      <w:r w:rsidRPr="001844D4">
        <w:rPr>
          <w:b/>
          <w:bCs/>
        </w:rPr>
        <w:t>After</w:t>
      </w:r>
      <w:proofErr w:type="spellEnd"/>
      <w:r w:rsidRPr="001844D4">
        <w:rPr>
          <w:b/>
          <w:bCs/>
        </w:rPr>
        <w:t xml:space="preserve"> Discontinuation of </w:t>
      </w:r>
      <w:proofErr w:type="spellStart"/>
      <w:r w:rsidRPr="001844D4">
        <w:rPr>
          <w:b/>
          <w:bCs/>
        </w:rPr>
        <w:t>Chronic</w:t>
      </w:r>
      <w:proofErr w:type="spellEnd"/>
      <w:r w:rsidRPr="001844D4">
        <w:rPr>
          <w:b/>
          <w:bCs/>
        </w:rPr>
        <w:t xml:space="preserve"> </w:t>
      </w:r>
      <w:proofErr w:type="spellStart"/>
      <w:r w:rsidRPr="001844D4">
        <w:rPr>
          <w:b/>
          <w:bCs/>
        </w:rPr>
        <w:t>Antihistamine</w:t>
      </w:r>
      <w:proofErr w:type="spellEnd"/>
      <w:r w:rsidRPr="001844D4">
        <w:rPr>
          <w:b/>
          <w:bCs/>
        </w:rPr>
        <w:t xml:space="preserve"> Use-A </w:t>
      </w:r>
      <w:proofErr w:type="spellStart"/>
      <w:r w:rsidRPr="001844D4">
        <w:rPr>
          <w:b/>
          <w:bCs/>
        </w:rPr>
        <w:t>Scoping</w:t>
      </w:r>
      <w:proofErr w:type="spellEnd"/>
      <w:r w:rsidRPr="001844D4">
        <w:rPr>
          <w:b/>
          <w:bCs/>
        </w:rPr>
        <w:t xml:space="preserve"> </w:t>
      </w:r>
      <w:proofErr w:type="spellStart"/>
      <w:r w:rsidRPr="001844D4">
        <w:rPr>
          <w:b/>
          <w:bCs/>
        </w:rPr>
        <w:t>Review</w:t>
      </w:r>
      <w:proofErr w:type="spellEnd"/>
      <w:r w:rsidRPr="001844D4">
        <w:rPr>
          <w:b/>
          <w:bCs/>
        </w:rPr>
        <w:t xml:space="preserve">. </w:t>
      </w:r>
    </w:p>
    <w:p w14:paraId="4A53599E" w14:textId="77777777" w:rsidR="004B36DD" w:rsidRPr="001844D4" w:rsidRDefault="004B36DD" w:rsidP="001844D4">
      <w:pPr>
        <w:spacing w:before="100" w:beforeAutospacing="1" w:after="100" w:afterAutospacing="1"/>
        <w:jc w:val="both"/>
        <w:rPr>
          <w:lang w:val="nl-BE"/>
        </w:rPr>
      </w:pPr>
      <w:r w:rsidRPr="001844D4">
        <w:rPr>
          <w:lang w:val="nl-BE"/>
        </w:rPr>
        <w:t xml:space="preserve">Seng JJB, Oka P, Tan NC. </w:t>
      </w:r>
    </w:p>
    <w:p w14:paraId="2C79F9A1" w14:textId="77777777" w:rsidR="004B36DD" w:rsidRPr="001844D4" w:rsidRDefault="004B36DD" w:rsidP="001844D4">
      <w:pPr>
        <w:spacing w:before="100" w:beforeAutospacing="1" w:after="100" w:afterAutospacing="1"/>
        <w:jc w:val="both"/>
      </w:pPr>
      <w:r w:rsidRPr="001844D4">
        <w:t xml:space="preserve">Clin </w:t>
      </w:r>
      <w:proofErr w:type="spellStart"/>
      <w:r w:rsidRPr="001844D4">
        <w:t>Exp</w:t>
      </w:r>
      <w:proofErr w:type="spellEnd"/>
      <w:r w:rsidRPr="001844D4">
        <w:t xml:space="preserve"> </w:t>
      </w:r>
      <w:proofErr w:type="spellStart"/>
      <w:r w:rsidRPr="001844D4">
        <w:t>Allergy</w:t>
      </w:r>
      <w:proofErr w:type="spellEnd"/>
      <w:r w:rsidRPr="001844D4">
        <w:t xml:space="preserve">. 2026 Mar 30. </w:t>
      </w:r>
    </w:p>
    <w:p w14:paraId="4F1D822B" w14:textId="7AA1CE73" w:rsidR="004B36DD" w:rsidRPr="001844D4" w:rsidRDefault="004B36DD" w:rsidP="001844D4">
      <w:pPr>
        <w:spacing w:before="100" w:beforeAutospacing="1" w:after="100" w:afterAutospacing="1"/>
        <w:jc w:val="both"/>
      </w:pPr>
      <w:proofErr w:type="spellStart"/>
      <w:r w:rsidRPr="001844D4">
        <w:t>doi</w:t>
      </w:r>
      <w:proofErr w:type="spellEnd"/>
      <w:r w:rsidRPr="001844D4">
        <w:t>: 10.1111/cea.70291.</w:t>
      </w:r>
    </w:p>
    <w:p w14:paraId="693ED359" w14:textId="102D94BB" w:rsidR="004B36DD" w:rsidRPr="001844D4" w:rsidRDefault="001844D4" w:rsidP="001844D4">
      <w:pPr>
        <w:pStyle w:val="NormalWeb"/>
        <w:jc w:val="both"/>
        <w:rPr>
          <w:rFonts w:asciiTheme="minorHAnsi" w:hAnsiTheme="minorHAnsi"/>
          <w:color w:val="262626"/>
        </w:rPr>
      </w:pPr>
      <w:r w:rsidRPr="001844D4">
        <w:rPr>
          <w:rStyle w:val="lev"/>
          <w:rFonts w:asciiTheme="minorHAnsi" w:hAnsiTheme="minorHAnsi"/>
          <w:b w:val="0"/>
          <w:bCs w:val="0"/>
          <w:color w:val="262626"/>
        </w:rPr>
        <w:t>Cette</w:t>
      </w:r>
      <w:r w:rsidR="004B36DD" w:rsidRPr="001844D4">
        <w:rPr>
          <w:rStyle w:val="lev"/>
          <w:rFonts w:asciiTheme="minorHAnsi" w:hAnsiTheme="minorHAnsi"/>
          <w:b w:val="0"/>
          <w:bCs w:val="0"/>
          <w:color w:val="262626"/>
        </w:rPr>
        <w:t xml:space="preserve"> une </w:t>
      </w:r>
      <w:proofErr w:type="spellStart"/>
      <w:r w:rsidR="004B36DD" w:rsidRPr="001844D4">
        <w:rPr>
          <w:rStyle w:val="lev"/>
          <w:rFonts w:asciiTheme="minorHAnsi" w:hAnsiTheme="minorHAnsi"/>
          <w:b w:val="0"/>
          <w:bCs w:val="0"/>
          <w:color w:val="262626"/>
        </w:rPr>
        <w:t>scoping</w:t>
      </w:r>
      <w:proofErr w:type="spellEnd"/>
      <w:r w:rsidR="004B36DD" w:rsidRPr="001844D4">
        <w:rPr>
          <w:rStyle w:val="lev"/>
          <w:rFonts w:asciiTheme="minorHAnsi" w:hAnsiTheme="minorHAnsi"/>
          <w:b w:val="0"/>
          <w:bCs w:val="0"/>
          <w:color w:val="262626"/>
        </w:rPr>
        <w:t xml:space="preserve"> </w:t>
      </w:r>
      <w:proofErr w:type="spellStart"/>
      <w:r w:rsidR="004B36DD" w:rsidRPr="001844D4">
        <w:rPr>
          <w:rStyle w:val="lev"/>
          <w:rFonts w:asciiTheme="minorHAnsi" w:hAnsiTheme="minorHAnsi"/>
          <w:b w:val="0"/>
          <w:bCs w:val="0"/>
          <w:color w:val="262626"/>
        </w:rPr>
        <w:t>review</w:t>
      </w:r>
      <w:proofErr w:type="spellEnd"/>
      <w:r w:rsidR="004B36DD" w:rsidRPr="001844D4">
        <w:rPr>
          <w:rStyle w:val="lev"/>
          <w:rFonts w:asciiTheme="minorHAnsi" w:hAnsiTheme="minorHAnsi"/>
          <w:b w:val="0"/>
          <w:bCs w:val="0"/>
          <w:color w:val="262626"/>
        </w:rPr>
        <w:t xml:space="preserve"> qui a été faite suite à l’alerte de la FDA concernant le </w:t>
      </w:r>
      <w:r w:rsidR="004B36DD" w:rsidRPr="001844D4">
        <w:rPr>
          <w:rFonts w:asciiTheme="minorHAnsi" w:hAnsiTheme="minorHAnsi"/>
          <w:color w:val="262626"/>
        </w:rPr>
        <w:t>prurit apparaissant après l'arrêt des antihistaminiques pris chroniquement.</w:t>
      </w:r>
    </w:p>
    <w:p w14:paraId="1F327DA0" w14:textId="08F3585F" w:rsidR="004B36DD" w:rsidRPr="001844D4" w:rsidRDefault="004B36DD" w:rsidP="001844D4">
      <w:pPr>
        <w:pStyle w:val="NormalWeb"/>
        <w:jc w:val="both"/>
        <w:rPr>
          <w:rFonts w:asciiTheme="minorHAnsi" w:hAnsiTheme="minorHAnsi"/>
          <w:color w:val="262626"/>
        </w:rPr>
      </w:pPr>
      <w:r w:rsidRPr="001844D4">
        <w:rPr>
          <w:rFonts w:asciiTheme="minorHAnsi" w:hAnsiTheme="minorHAnsi"/>
          <w:color w:val="262626"/>
        </w:rPr>
        <w:t xml:space="preserve">Deux études rétrospectives, une série de cas et un rapport de cas ont été inclus dans la </w:t>
      </w:r>
      <w:proofErr w:type="spellStart"/>
      <w:r w:rsidRPr="001844D4">
        <w:rPr>
          <w:rFonts w:asciiTheme="minorHAnsi" w:hAnsiTheme="minorHAnsi"/>
          <w:color w:val="262626"/>
        </w:rPr>
        <w:t>rev</w:t>
      </w:r>
      <w:r w:rsidR="001844D4" w:rsidRPr="001844D4">
        <w:rPr>
          <w:rFonts w:asciiTheme="minorHAnsi" w:hAnsiTheme="minorHAnsi"/>
          <w:color w:val="262626"/>
        </w:rPr>
        <w:t>iew</w:t>
      </w:r>
      <w:proofErr w:type="spellEnd"/>
      <w:r w:rsidRPr="001844D4">
        <w:rPr>
          <w:rFonts w:asciiTheme="minorHAnsi" w:hAnsiTheme="minorHAnsi"/>
          <w:color w:val="262626"/>
        </w:rPr>
        <w:t xml:space="preserve">. Les principaux antihistaminiques impliqués dans le prurit « de rebond après l'arrêt » étaient la </w:t>
      </w:r>
      <w:proofErr w:type="spellStart"/>
      <w:r w:rsidRPr="001844D4">
        <w:rPr>
          <w:rFonts w:asciiTheme="minorHAnsi" w:hAnsiTheme="minorHAnsi"/>
          <w:color w:val="262626"/>
        </w:rPr>
        <w:t>cétirizine</w:t>
      </w:r>
      <w:proofErr w:type="spellEnd"/>
      <w:r w:rsidRPr="001844D4">
        <w:rPr>
          <w:rFonts w:asciiTheme="minorHAnsi" w:hAnsiTheme="minorHAnsi"/>
          <w:color w:val="262626"/>
        </w:rPr>
        <w:t xml:space="preserve"> (n = 327), la </w:t>
      </w:r>
      <w:proofErr w:type="spellStart"/>
      <w:r w:rsidRPr="001844D4">
        <w:rPr>
          <w:rFonts w:asciiTheme="minorHAnsi" w:hAnsiTheme="minorHAnsi"/>
          <w:color w:val="262626"/>
        </w:rPr>
        <w:t>lévocétirizine</w:t>
      </w:r>
      <w:proofErr w:type="spellEnd"/>
      <w:r w:rsidRPr="001844D4">
        <w:rPr>
          <w:rFonts w:asciiTheme="minorHAnsi" w:hAnsiTheme="minorHAnsi"/>
          <w:color w:val="262626"/>
        </w:rPr>
        <w:t xml:space="preserve"> (n = 39) et les deux (n = 2). Parmi ces patients, 85 ont présenté une urticaire concomitante après l'arrêt des antihistaminiques. Aucun rapport n'a été noté pour d'autres antihistaminiques. L'utilisation des antihistaminiques allait de quelques mois à plusieurs années, avec un prurit se développant entre 1 et 5 jours après l'arrêt. Plus de 80% des patients prenaient les antihistaminiques pour une rhinite chronique allergique. Parmi les stratégies de traitement courantes adoptées, la </w:t>
      </w:r>
      <w:r w:rsidR="001844D4" w:rsidRPr="001844D4">
        <w:rPr>
          <w:rFonts w:asciiTheme="minorHAnsi" w:hAnsiTheme="minorHAnsi"/>
          <w:color w:val="262626"/>
        </w:rPr>
        <w:t xml:space="preserve">reprise de l’antihistaminique </w:t>
      </w:r>
      <w:r w:rsidRPr="001844D4">
        <w:rPr>
          <w:rFonts w:asciiTheme="minorHAnsi" w:hAnsiTheme="minorHAnsi"/>
          <w:color w:val="262626"/>
        </w:rPr>
        <w:t xml:space="preserve">a été la plus efficace, tandis que la diminution progressive des antihistaminiques ne semblait pas efficace. </w:t>
      </w:r>
    </w:p>
    <w:p w14:paraId="325F5D70" w14:textId="77777777" w:rsidR="004B36DD" w:rsidRPr="001844D4" w:rsidRDefault="004B36DD" w:rsidP="001844D4">
      <w:pPr>
        <w:spacing w:before="100" w:beforeAutospacing="1" w:after="100" w:afterAutospacing="1"/>
        <w:jc w:val="both"/>
      </w:pPr>
    </w:p>
    <w:sectPr w:rsidR="004B36DD" w:rsidRPr="001844D4" w:rsidSect="001D60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CEE"/>
    <w:multiLevelType w:val="multilevel"/>
    <w:tmpl w:val="0C0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F7C30"/>
    <w:multiLevelType w:val="multilevel"/>
    <w:tmpl w:val="2D0C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A229AA"/>
    <w:multiLevelType w:val="multilevel"/>
    <w:tmpl w:val="394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F20A8"/>
    <w:multiLevelType w:val="multilevel"/>
    <w:tmpl w:val="FAD8D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30698">
    <w:abstractNumId w:val="3"/>
  </w:num>
  <w:num w:numId="2" w16cid:durableId="1574779826">
    <w:abstractNumId w:val="2"/>
  </w:num>
  <w:num w:numId="3" w16cid:durableId="1341664359">
    <w:abstractNumId w:val="1"/>
  </w:num>
  <w:num w:numId="4" w16cid:durableId="79995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38"/>
    <w:rsid w:val="00011E5F"/>
    <w:rsid w:val="000178E4"/>
    <w:rsid w:val="000505D1"/>
    <w:rsid w:val="00067EA3"/>
    <w:rsid w:val="00077FD8"/>
    <w:rsid w:val="000D3F95"/>
    <w:rsid w:val="000E66B2"/>
    <w:rsid w:val="00101003"/>
    <w:rsid w:val="00107E38"/>
    <w:rsid w:val="0011437D"/>
    <w:rsid w:val="001407A0"/>
    <w:rsid w:val="001511F6"/>
    <w:rsid w:val="00151AB0"/>
    <w:rsid w:val="001843DE"/>
    <w:rsid w:val="001844D4"/>
    <w:rsid w:val="00192B53"/>
    <w:rsid w:val="001A7EA0"/>
    <w:rsid w:val="001D60D9"/>
    <w:rsid w:val="00211F35"/>
    <w:rsid w:val="0023273D"/>
    <w:rsid w:val="00285CD3"/>
    <w:rsid w:val="002B58CA"/>
    <w:rsid w:val="00325679"/>
    <w:rsid w:val="003730A9"/>
    <w:rsid w:val="0038730D"/>
    <w:rsid w:val="00395E83"/>
    <w:rsid w:val="00397349"/>
    <w:rsid w:val="003D5430"/>
    <w:rsid w:val="003F0A70"/>
    <w:rsid w:val="0041393A"/>
    <w:rsid w:val="00436D12"/>
    <w:rsid w:val="00442786"/>
    <w:rsid w:val="0047671D"/>
    <w:rsid w:val="0048660E"/>
    <w:rsid w:val="004900C4"/>
    <w:rsid w:val="004B36DD"/>
    <w:rsid w:val="005265B1"/>
    <w:rsid w:val="00541CB9"/>
    <w:rsid w:val="0056760C"/>
    <w:rsid w:val="005A63C1"/>
    <w:rsid w:val="005B188B"/>
    <w:rsid w:val="005B3129"/>
    <w:rsid w:val="005B5CDA"/>
    <w:rsid w:val="005C703D"/>
    <w:rsid w:val="005D2DE8"/>
    <w:rsid w:val="00633878"/>
    <w:rsid w:val="006B320B"/>
    <w:rsid w:val="006C688B"/>
    <w:rsid w:val="006D64AC"/>
    <w:rsid w:val="006E4DE9"/>
    <w:rsid w:val="00726C5E"/>
    <w:rsid w:val="007376C3"/>
    <w:rsid w:val="00761FC8"/>
    <w:rsid w:val="007854F8"/>
    <w:rsid w:val="007A0C41"/>
    <w:rsid w:val="007C04B9"/>
    <w:rsid w:val="007E24AC"/>
    <w:rsid w:val="007E69AA"/>
    <w:rsid w:val="0080035D"/>
    <w:rsid w:val="008042E3"/>
    <w:rsid w:val="00804E45"/>
    <w:rsid w:val="00805878"/>
    <w:rsid w:val="00810D75"/>
    <w:rsid w:val="008501B4"/>
    <w:rsid w:val="008818AB"/>
    <w:rsid w:val="00894E15"/>
    <w:rsid w:val="008C12A3"/>
    <w:rsid w:val="008C35D9"/>
    <w:rsid w:val="008D2377"/>
    <w:rsid w:val="008E139E"/>
    <w:rsid w:val="008E1E97"/>
    <w:rsid w:val="009001BD"/>
    <w:rsid w:val="00950969"/>
    <w:rsid w:val="009566BB"/>
    <w:rsid w:val="00957F47"/>
    <w:rsid w:val="00992200"/>
    <w:rsid w:val="009A3B29"/>
    <w:rsid w:val="009D7DAF"/>
    <w:rsid w:val="009E6F6C"/>
    <w:rsid w:val="00A159BB"/>
    <w:rsid w:val="00A47F62"/>
    <w:rsid w:val="00A60D4F"/>
    <w:rsid w:val="00A87C6D"/>
    <w:rsid w:val="00AB209A"/>
    <w:rsid w:val="00AC4F63"/>
    <w:rsid w:val="00AE3E40"/>
    <w:rsid w:val="00B0466D"/>
    <w:rsid w:val="00B10A1C"/>
    <w:rsid w:val="00B207DC"/>
    <w:rsid w:val="00B6649E"/>
    <w:rsid w:val="00B7064F"/>
    <w:rsid w:val="00B979A8"/>
    <w:rsid w:val="00BD0240"/>
    <w:rsid w:val="00BE08C0"/>
    <w:rsid w:val="00C03943"/>
    <w:rsid w:val="00C161EE"/>
    <w:rsid w:val="00C226B1"/>
    <w:rsid w:val="00C42721"/>
    <w:rsid w:val="00C90C9D"/>
    <w:rsid w:val="00C9746B"/>
    <w:rsid w:val="00CA35F9"/>
    <w:rsid w:val="00CB64C5"/>
    <w:rsid w:val="00CC3B20"/>
    <w:rsid w:val="00D26A4D"/>
    <w:rsid w:val="00D82F17"/>
    <w:rsid w:val="00DD38ED"/>
    <w:rsid w:val="00E11E61"/>
    <w:rsid w:val="00E12CB6"/>
    <w:rsid w:val="00E32936"/>
    <w:rsid w:val="00E53933"/>
    <w:rsid w:val="00E73792"/>
    <w:rsid w:val="00E91DBA"/>
    <w:rsid w:val="00ED4473"/>
    <w:rsid w:val="00EE4FF4"/>
    <w:rsid w:val="00F005C9"/>
    <w:rsid w:val="00F11C52"/>
    <w:rsid w:val="00F1223F"/>
    <w:rsid w:val="00F21B74"/>
    <w:rsid w:val="00F32639"/>
    <w:rsid w:val="00F36E60"/>
    <w:rsid w:val="00F372A9"/>
    <w:rsid w:val="00F92FFC"/>
    <w:rsid w:val="00FA25EB"/>
    <w:rsid w:val="00FA5A66"/>
    <w:rsid w:val="00FB5613"/>
    <w:rsid w:val="00FD09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D0FC9B3"/>
  <w15:chartTrackingRefBased/>
  <w15:docId w15:val="{296A13BF-63A9-674B-98A6-A48D78BE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7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07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7E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7E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7E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7E3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7E3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7E3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7E3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7E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07E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7E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7E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7E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7E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7E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7E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7E38"/>
    <w:rPr>
      <w:rFonts w:eastAsiaTheme="majorEastAsia" w:cstheme="majorBidi"/>
      <w:color w:val="272727" w:themeColor="text1" w:themeTint="D8"/>
    </w:rPr>
  </w:style>
  <w:style w:type="paragraph" w:styleId="Titre">
    <w:name w:val="Title"/>
    <w:basedOn w:val="Normal"/>
    <w:next w:val="Normal"/>
    <w:link w:val="TitreCar"/>
    <w:uiPriority w:val="10"/>
    <w:qFormat/>
    <w:rsid w:val="00107E3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7E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7E3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7E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7E3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07E38"/>
    <w:rPr>
      <w:i/>
      <w:iCs/>
      <w:color w:val="404040" w:themeColor="text1" w:themeTint="BF"/>
    </w:rPr>
  </w:style>
  <w:style w:type="paragraph" w:styleId="Paragraphedeliste">
    <w:name w:val="List Paragraph"/>
    <w:basedOn w:val="Normal"/>
    <w:uiPriority w:val="34"/>
    <w:qFormat/>
    <w:rsid w:val="00107E38"/>
    <w:pPr>
      <w:ind w:left="720"/>
      <w:contextualSpacing/>
    </w:pPr>
  </w:style>
  <w:style w:type="character" w:styleId="Accentuationintense">
    <w:name w:val="Intense Emphasis"/>
    <w:basedOn w:val="Policepardfaut"/>
    <w:uiPriority w:val="21"/>
    <w:qFormat/>
    <w:rsid w:val="00107E38"/>
    <w:rPr>
      <w:i/>
      <w:iCs/>
      <w:color w:val="0F4761" w:themeColor="accent1" w:themeShade="BF"/>
    </w:rPr>
  </w:style>
  <w:style w:type="paragraph" w:styleId="Citationintense">
    <w:name w:val="Intense Quote"/>
    <w:basedOn w:val="Normal"/>
    <w:next w:val="Normal"/>
    <w:link w:val="CitationintenseCar"/>
    <w:uiPriority w:val="30"/>
    <w:qFormat/>
    <w:rsid w:val="0010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7E38"/>
    <w:rPr>
      <w:i/>
      <w:iCs/>
      <w:color w:val="0F4761" w:themeColor="accent1" w:themeShade="BF"/>
    </w:rPr>
  </w:style>
  <w:style w:type="character" w:styleId="Rfrenceintense">
    <w:name w:val="Intense Reference"/>
    <w:basedOn w:val="Policepardfaut"/>
    <w:uiPriority w:val="32"/>
    <w:qFormat/>
    <w:rsid w:val="00107E38"/>
    <w:rPr>
      <w:b/>
      <w:bCs/>
      <w:smallCaps/>
      <w:color w:val="0F4761" w:themeColor="accent1" w:themeShade="BF"/>
      <w:spacing w:val="5"/>
    </w:rPr>
  </w:style>
  <w:style w:type="character" w:customStyle="1" w:styleId="highlighthighlightpbr3q">
    <w:name w:val="highlight_highlight__pbr3q"/>
    <w:basedOn w:val="Policepardfaut"/>
    <w:rsid w:val="00B10A1C"/>
  </w:style>
  <w:style w:type="character" w:customStyle="1" w:styleId="typographytypographycrpwo">
    <w:name w:val="typography_typography__crpwo"/>
    <w:basedOn w:val="Policepardfaut"/>
    <w:rsid w:val="00B10A1C"/>
  </w:style>
  <w:style w:type="character" w:styleId="Accentuation">
    <w:name w:val="Emphasis"/>
    <w:basedOn w:val="Policepardfaut"/>
    <w:uiPriority w:val="20"/>
    <w:qFormat/>
    <w:rsid w:val="00B10A1C"/>
    <w:rPr>
      <w:i/>
      <w:iCs/>
    </w:rPr>
  </w:style>
  <w:style w:type="paragraph" w:styleId="NormalWeb">
    <w:name w:val="Normal (Web)"/>
    <w:basedOn w:val="Normal"/>
    <w:uiPriority w:val="99"/>
    <w:semiHidden/>
    <w:unhideWhenUsed/>
    <w:rsid w:val="00B10A1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10A1C"/>
    <w:rPr>
      <w:b/>
      <w:bCs/>
    </w:rPr>
  </w:style>
  <w:style w:type="character" w:customStyle="1" w:styleId="apple-converted-space">
    <w:name w:val="apple-converted-space"/>
    <w:basedOn w:val="Policepardfaut"/>
    <w:rsid w:val="00B10A1C"/>
  </w:style>
  <w:style w:type="character" w:styleId="Lienhypertexte">
    <w:name w:val="Hyperlink"/>
    <w:basedOn w:val="Policepardfaut"/>
    <w:uiPriority w:val="99"/>
    <w:semiHidden/>
    <w:unhideWhenUsed/>
    <w:rsid w:val="006B320B"/>
    <w:rPr>
      <w:color w:val="0000FF"/>
      <w:u w:val="single"/>
    </w:rPr>
  </w:style>
  <w:style w:type="character" w:customStyle="1" w:styleId="xjournal">
    <w:name w:val="x_journal"/>
    <w:basedOn w:val="Policepardfaut"/>
    <w:rsid w:val="006B320B"/>
  </w:style>
  <w:style w:type="character" w:customStyle="1" w:styleId="xperiod">
    <w:name w:val="x_period"/>
    <w:basedOn w:val="Policepardfaut"/>
    <w:rsid w:val="006B320B"/>
  </w:style>
  <w:style w:type="character" w:customStyle="1" w:styleId="xcit">
    <w:name w:val="x_cit"/>
    <w:basedOn w:val="Policepardfaut"/>
    <w:rsid w:val="006B320B"/>
  </w:style>
  <w:style w:type="character" w:customStyle="1" w:styleId="xcitation-doi">
    <w:name w:val="x_citation-doi"/>
    <w:basedOn w:val="Policepardfaut"/>
    <w:rsid w:val="006B320B"/>
  </w:style>
  <w:style w:type="character" w:customStyle="1" w:styleId="xsecondary-date">
    <w:name w:val="x_secondary-date"/>
    <w:basedOn w:val="Policepardfaut"/>
    <w:rsid w:val="006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1854</Words>
  <Characters>10203</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De Montjoye</dc:creator>
  <cp:keywords/>
  <dc:description/>
  <cp:lastModifiedBy>Laurence De Montjoye</cp:lastModifiedBy>
  <cp:revision>4</cp:revision>
  <dcterms:created xsi:type="dcterms:W3CDTF">2026-04-28T12:23:00Z</dcterms:created>
  <dcterms:modified xsi:type="dcterms:W3CDTF">2026-04-28T12:23:00Z</dcterms:modified>
</cp:coreProperties>
</file>